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7C6047" w14:textId="77777777" w:rsidR="000D184D" w:rsidRDefault="00477A39">
      <w:pPr>
        <w:pStyle w:val="Rubrik"/>
        <w:spacing w:line="259" w:lineRule="auto"/>
      </w:pPr>
      <w:r>
        <w:rPr>
          <w:color w:val="2E5395"/>
        </w:rPr>
        <w:t>Säkerhetsföreskrifter för beredskap i en våldssituation eller en annan specialsituation</w:t>
      </w:r>
    </w:p>
    <w:p w14:paraId="217C6048" w14:textId="77777777" w:rsidR="000D184D" w:rsidRDefault="000D184D">
      <w:pPr>
        <w:pStyle w:val="Brdtext"/>
        <w:spacing w:before="7"/>
        <w:ind w:left="0"/>
        <w:rPr>
          <w:sz w:val="34"/>
        </w:rPr>
      </w:pPr>
    </w:p>
    <w:p w14:paraId="217C6049" w14:textId="77777777" w:rsidR="000D184D" w:rsidRDefault="00477A39">
      <w:pPr>
        <w:pStyle w:val="Rubrik1"/>
        <w:spacing w:before="0"/>
      </w:pPr>
      <w:r>
        <w:rPr>
          <w:color w:val="2E5395"/>
        </w:rPr>
        <w:t>Våld</w:t>
      </w:r>
    </w:p>
    <w:p w14:paraId="217C604A" w14:textId="77777777" w:rsidR="000D184D" w:rsidRDefault="00477A39">
      <w:pPr>
        <w:pStyle w:val="Rubrik2"/>
        <w:spacing w:before="23"/>
      </w:pPr>
      <w:r>
        <w:t>Att möta en våldsam person</w:t>
      </w:r>
    </w:p>
    <w:p w14:paraId="217C604B" w14:textId="77777777" w:rsidR="000D184D" w:rsidRDefault="00477A39">
      <w:pPr>
        <w:pStyle w:val="Brdtext"/>
        <w:spacing w:before="182" w:line="259" w:lineRule="auto"/>
        <w:ind w:right="104"/>
      </w:pPr>
      <w:r>
        <w:t>Gör omgivningen uppmärksam på situationen på något sätt (</w:t>
      </w:r>
      <w:proofErr w:type="gramStart"/>
      <w:r>
        <w:t>t.ex.</w:t>
      </w:r>
      <w:proofErr w:type="gramEnd"/>
      <w:r>
        <w:t xml:space="preserve"> kodspråk). Tillkalla hjälp så fort du kan. Slå helst larm som en förebyggande åtgärd. Tryck på larmknappen. Ring vid behov nödcentralen på numret 112. Lugna först ner dig genom att andas lugnt och djupt. Tala lugnt och tydligt till personen som hotar dig. Använd korta meningar. Försök få personen att sätta sig och diskutera.</w:t>
      </w:r>
    </w:p>
    <w:p w14:paraId="217C604C" w14:textId="77777777" w:rsidR="000D184D" w:rsidRDefault="00477A39">
      <w:pPr>
        <w:pStyle w:val="Brdtext"/>
        <w:spacing w:before="160" w:line="259" w:lineRule="auto"/>
        <w:ind w:right="601"/>
      </w:pPr>
      <w:r>
        <w:t>Försök inte övermanna personen ensam. Tillkalla andra anställda. Se till att en anställd talar med personen och de andra tryggar och iakttar situationen längre bort.</w:t>
      </w:r>
    </w:p>
    <w:p w14:paraId="217C604D" w14:textId="77777777" w:rsidR="000D184D" w:rsidRDefault="00477A39">
      <w:pPr>
        <w:pStyle w:val="Brdtext"/>
        <w:spacing w:before="161" w:line="259" w:lineRule="auto"/>
        <w:ind w:right="104"/>
      </w:pPr>
      <w:r>
        <w:t>Dra dig tillbaka och fly så fort det är möjligt. Försök ha ett bord eller ett annat hinder mellan dig och personen som hotar dig. Om personen närmar sig ska du försöka göra det svårare för honom eller henne att ta sig fram genom att placera möbler eller andra föremål i vägen.</w:t>
      </w:r>
    </w:p>
    <w:p w14:paraId="217C604E" w14:textId="77777777" w:rsidR="000D184D" w:rsidRDefault="00477A39">
      <w:pPr>
        <w:pStyle w:val="Rubrik1"/>
      </w:pPr>
      <w:r>
        <w:rPr>
          <w:color w:val="2E5395"/>
        </w:rPr>
        <w:t>Olaga hot</w:t>
      </w:r>
    </w:p>
    <w:p w14:paraId="217C604F" w14:textId="5767C368" w:rsidR="000D184D" w:rsidRDefault="00477A39">
      <w:pPr>
        <w:pStyle w:val="Rubrik2"/>
        <w:spacing w:before="23"/>
      </w:pPr>
      <w:r>
        <w:t>Enstaka yttrande, hot som yttrats i ilskan</w:t>
      </w:r>
    </w:p>
    <w:p w14:paraId="217C6050" w14:textId="77777777" w:rsidR="000D184D" w:rsidRDefault="00477A39">
      <w:pPr>
        <w:pStyle w:val="Brdtext"/>
        <w:spacing w:before="182" w:line="259" w:lineRule="auto"/>
        <w:ind w:right="104"/>
      </w:pPr>
      <w:r>
        <w:t>Meddela personen som hotat dig att det inte är tillåtet att hota andra och be personen uppföra sig sakligt. Anteckna innehållet i hotelsen som kunden eller dennes närstående/gäst har yttrat i dokumenten. Rapportera hotelsen till chefen och vid behov till andra anställda. Fyll i händelserapporten och ge den till chefen.</w:t>
      </w:r>
    </w:p>
    <w:p w14:paraId="217C6051" w14:textId="77777777" w:rsidR="000D184D" w:rsidRDefault="00477A39">
      <w:pPr>
        <w:pStyle w:val="Rubrik2"/>
        <w:spacing w:before="163" w:line="254" w:lineRule="auto"/>
        <w:ind w:right="601"/>
      </w:pPr>
      <w:r>
        <w:t>Klart hot om våld som riktas direkt mot en person eller mot en annan namngiven person</w:t>
      </w:r>
    </w:p>
    <w:p w14:paraId="217C6052" w14:textId="77777777" w:rsidR="000D184D" w:rsidRDefault="00477A39">
      <w:pPr>
        <w:pStyle w:val="Brdtext"/>
        <w:spacing w:before="169" w:line="259" w:lineRule="auto"/>
        <w:ind w:right="226"/>
      </w:pPr>
      <w:r>
        <w:t>Meddela personen som hotat dig att det inte är tillåtet att hota någon och be personen uppföra sig sakligt. Avlägsna dig om du är ensam. Tillkalla andra anställda.</w:t>
      </w:r>
    </w:p>
    <w:p w14:paraId="217C6053" w14:textId="0917D108" w:rsidR="000D184D" w:rsidRDefault="00477A39">
      <w:pPr>
        <w:pStyle w:val="Brdtext"/>
        <w:spacing w:before="158" w:line="259" w:lineRule="auto"/>
        <w:ind w:right="772"/>
        <w:jc w:val="both"/>
      </w:pPr>
      <w:r>
        <w:t xml:space="preserve">Anteckna innehållet i hotelsen som kunden eller dennes närstående/gäst har yttrat i dokumenten. Om hotelsen gäller en annan person ska du informera </w:t>
      </w:r>
      <w:r w:rsidR="00B83F9C">
        <w:t>hen</w:t>
      </w:r>
      <w:r>
        <w:t xml:space="preserve"> om </w:t>
      </w:r>
      <w:r w:rsidR="00B83F9C">
        <w:t>det</w:t>
      </w:r>
      <w:r>
        <w:t>. Du kan meddela den som hotas vem som har yttrat hotelsen om du vet vem personen är.</w:t>
      </w:r>
    </w:p>
    <w:p w14:paraId="217C6054" w14:textId="6B39A1F4" w:rsidR="000D184D" w:rsidRDefault="00477A39">
      <w:pPr>
        <w:pStyle w:val="Brdtext"/>
        <w:spacing w:before="159" w:line="259" w:lineRule="auto"/>
        <w:ind w:right="984"/>
      </w:pPr>
      <w:r>
        <w:t>Den som är föremål för hotelsen lämnar själv en begäran om utredning till polisen. Rapportera alltid hot till chefen. Berätta vid behov om situationen för de andra anställda.</w:t>
      </w:r>
    </w:p>
    <w:p w14:paraId="217C6055" w14:textId="77777777" w:rsidR="000D184D" w:rsidRDefault="00477A39">
      <w:pPr>
        <w:pStyle w:val="Brdtext"/>
        <w:spacing w:before="161" w:line="259" w:lineRule="auto"/>
        <w:ind w:right="1063"/>
      </w:pPr>
      <w:r>
        <w:t>Lämna en begäran om utredning till polisen. Du kan meddela den hotfulla personens personuppgifter utan att bryta mot din tystnadsplikt.</w:t>
      </w:r>
    </w:p>
    <w:p w14:paraId="217C6056" w14:textId="77777777" w:rsidR="000D184D" w:rsidRDefault="00477A39">
      <w:pPr>
        <w:pStyle w:val="Brdtext"/>
        <w:spacing w:before="159" w:line="259" w:lineRule="auto"/>
      </w:pPr>
      <w:r>
        <w:t>Fyll i anmälningsblanketten och ge den till din chef. Chefen ser till att blanketten skickas till arbetarskyddschefen och företagshälsovården. Obs! Alla händelser som avviker från en god säkerhetsnivå meddelas i en händelserapport till chefen.</w:t>
      </w:r>
    </w:p>
    <w:p w14:paraId="217C6057" w14:textId="3CAECE84" w:rsidR="000D184D" w:rsidRDefault="00477A39">
      <w:pPr>
        <w:pStyle w:val="Rubrik1"/>
        <w:spacing w:before="163"/>
      </w:pPr>
      <w:r>
        <w:rPr>
          <w:color w:val="2E5395"/>
        </w:rPr>
        <w:t>Hot mot en anställds familj</w:t>
      </w:r>
    </w:p>
    <w:p w14:paraId="217C6058" w14:textId="05A31F2D" w:rsidR="000D184D" w:rsidRDefault="00477A39">
      <w:pPr>
        <w:pStyle w:val="Brdtext"/>
        <w:spacing w:before="21" w:line="259" w:lineRule="auto"/>
        <w:ind w:right="118"/>
      </w:pPr>
      <w:r>
        <w:t>Säg till den som hotar att det inte är tillåtet att hota andra. Avlägsna dig om du är ensam. Kalla på andra anställda om personen som uppträder hotfullt inte lugnar sig. Anteckna innehållet i hote</w:t>
      </w:r>
      <w:r w:rsidR="00B83F9C">
        <w:t>t</w:t>
      </w:r>
      <w:r>
        <w:t xml:space="preserve"> som kunden eller dennes närstående/gäst har yttrat i dokumenten.</w:t>
      </w:r>
    </w:p>
    <w:p w14:paraId="217C6059" w14:textId="77777777" w:rsidR="000D184D" w:rsidRDefault="000D184D">
      <w:pPr>
        <w:spacing w:line="259" w:lineRule="auto"/>
        <w:sectPr w:rsidR="000D184D">
          <w:type w:val="continuous"/>
          <w:pgSz w:w="11910" w:h="16840"/>
          <w:pgMar w:top="1580" w:right="1340" w:bottom="280" w:left="1340" w:header="720" w:footer="720" w:gutter="0"/>
          <w:cols w:space="720"/>
        </w:sectPr>
      </w:pPr>
    </w:p>
    <w:p w14:paraId="217C605A" w14:textId="0C270492" w:rsidR="000D184D" w:rsidRDefault="00477A39">
      <w:pPr>
        <w:pStyle w:val="Brdtext"/>
        <w:spacing w:before="41" w:line="403" w:lineRule="auto"/>
        <w:ind w:right="500"/>
      </w:pPr>
      <w:r>
        <w:lastRenderedPageBreak/>
        <w:t>Rapportera alltid hot till chefen. Berätta vid behov om situationen även för de andra anställda. Fyll i händelserapporten och lämna den till chefen.</w:t>
      </w:r>
    </w:p>
    <w:p w14:paraId="217C605B" w14:textId="77777777" w:rsidR="000D184D" w:rsidRDefault="00477A39">
      <w:pPr>
        <w:pStyle w:val="Brdtext"/>
        <w:spacing w:line="259" w:lineRule="auto"/>
        <w:ind w:right="530"/>
      </w:pPr>
      <w:r>
        <w:t>Lämna en begäran om utredning till polisen. Du kan meddela polisen den hotfulla personens personuppgifter och vad som har hänt utan att bryta mot tystnadsplikten.</w:t>
      </w:r>
    </w:p>
    <w:p w14:paraId="217C605C" w14:textId="77777777" w:rsidR="000D184D" w:rsidRDefault="00477A39">
      <w:pPr>
        <w:pStyle w:val="Rubrik1"/>
      </w:pPr>
      <w:r>
        <w:rPr>
          <w:color w:val="2E5395"/>
        </w:rPr>
        <w:t>Begäran om utredning till myndighet</w:t>
      </w:r>
    </w:p>
    <w:p w14:paraId="217C605D" w14:textId="77777777" w:rsidR="000D184D" w:rsidRDefault="00477A39">
      <w:pPr>
        <w:pStyle w:val="Brdtext"/>
        <w:spacing w:before="21" w:line="259" w:lineRule="auto"/>
        <w:ind w:right="604"/>
      </w:pPr>
      <w:r>
        <w:t>Vid våldsbrott är det bra att lämna in begäran om utredning personligen vid polisstationens jour. Alla har rätt att lämna en begäran om utredning till polisen om de anser att ett brott har begåtts. Redan ett olaga hot är ett brott.</w:t>
      </w:r>
    </w:p>
    <w:p w14:paraId="217C605E" w14:textId="15170FBF" w:rsidR="000D184D" w:rsidRDefault="00477A39">
      <w:pPr>
        <w:pStyle w:val="Brdtext"/>
        <w:spacing w:before="161" w:line="259" w:lineRule="auto"/>
      </w:pPr>
      <w:r>
        <w:t>En våldshandling som gjorts på arbetsplatsen, även lindrig misshandel, är en gärning som</w:t>
      </w:r>
      <w:r w:rsidR="00B83F9C">
        <w:t xml:space="preserve"> faller</w:t>
      </w:r>
      <w:r>
        <w:t xml:space="preserve"> under allmänt åtal och då kan en begäran om utredning också göras av någon annan än offret. Om polisen har besökt platsen behövs ingen separat anmälan eftersom polisen är utredningsskyldig.</w:t>
      </w:r>
    </w:p>
    <w:p w14:paraId="217C605F" w14:textId="0A844608" w:rsidR="000D184D" w:rsidRDefault="00477A39">
      <w:pPr>
        <w:pStyle w:val="Brdtext"/>
        <w:spacing w:before="159" w:line="259" w:lineRule="auto"/>
        <w:ind w:right="707"/>
      </w:pPr>
      <w:r>
        <w:t>Vid skador på</w:t>
      </w:r>
      <w:r w:rsidR="00B83F9C">
        <w:t xml:space="preserve"> själva fastigheten eller</w:t>
      </w:r>
      <w:r>
        <w:t xml:space="preserve"> egendom</w:t>
      </w:r>
      <w:r w:rsidR="00B83F9C">
        <w:t xml:space="preserve"> som hör till fastigheten</w:t>
      </w:r>
      <w:r>
        <w:t xml:space="preserve"> görs begäran om utredning/polisanmälan av fastighetschefen eller fastighetspersonalen. En förhandling med fastighetsägaren ska helst göras innan anmälan görs.</w:t>
      </w:r>
    </w:p>
    <w:p w14:paraId="217C6060" w14:textId="77777777" w:rsidR="000D184D" w:rsidRDefault="00477A39">
      <w:pPr>
        <w:pStyle w:val="Brdtext"/>
        <w:spacing w:before="159" w:line="259" w:lineRule="auto"/>
      </w:pPr>
      <w:r>
        <w:t>Vid skador på arbetsenhetens egendom görs begäran om utredning/polisanmälan av chefen.</w:t>
      </w:r>
    </w:p>
    <w:p w14:paraId="217C6061" w14:textId="77777777" w:rsidR="000D184D" w:rsidRDefault="00477A39">
      <w:pPr>
        <w:pStyle w:val="Rubrik1"/>
        <w:spacing w:before="163"/>
      </w:pPr>
      <w:r>
        <w:rPr>
          <w:color w:val="2E5395"/>
        </w:rPr>
        <w:t>Rättegång</w:t>
      </w:r>
    </w:p>
    <w:p w14:paraId="217C6062" w14:textId="77777777" w:rsidR="000D184D" w:rsidRDefault="00477A39">
      <w:pPr>
        <w:pStyle w:val="Rubrik2"/>
        <w:spacing w:before="22"/>
      </w:pPr>
      <w:r>
        <w:t>Allmänt</w:t>
      </w:r>
    </w:p>
    <w:p w14:paraId="217C6063" w14:textId="7857FF05" w:rsidR="000D184D" w:rsidRDefault="00477A39">
      <w:pPr>
        <w:pStyle w:val="Brdtext"/>
        <w:spacing w:before="183" w:line="259" w:lineRule="auto"/>
        <w:ind w:right="601"/>
      </w:pPr>
      <w:r>
        <w:t xml:space="preserve">Om en förundersökning eller rättegång infaller på en arbetsdag räknas deltagandet som arbetstid. Detta gäller både när </w:t>
      </w:r>
      <w:r w:rsidR="00A11388">
        <w:t xml:space="preserve">en </w:t>
      </w:r>
      <w:r>
        <w:t>arbetstagare</w:t>
      </w:r>
      <w:r w:rsidR="00A11388">
        <w:t xml:space="preserve"> och en </w:t>
      </w:r>
      <w:r>
        <w:t>tjänsteinnehavare är vittne och offer. När ett vittnesmål ges på arbetstid har man inte rätt att få vittnesersättning av domstolen.</w:t>
      </w:r>
    </w:p>
    <w:p w14:paraId="217C6064" w14:textId="359179ED" w:rsidR="000D184D" w:rsidRDefault="00477A39">
      <w:pPr>
        <w:pStyle w:val="Rubrik2"/>
        <w:spacing w:before="158"/>
      </w:pPr>
      <w:r>
        <w:t>Löneförmåner i våldssituationer</w:t>
      </w:r>
      <w:r w:rsidR="00B83F9C">
        <w:t xml:space="preserve"> som lett till arbetsoförmåga</w:t>
      </w:r>
    </w:p>
    <w:p w14:paraId="217C6065" w14:textId="77777777" w:rsidR="000D184D" w:rsidRDefault="00477A39">
      <w:pPr>
        <w:pStyle w:val="Brdtext"/>
        <w:spacing w:before="184" w:line="259" w:lineRule="auto"/>
        <w:ind w:right="171"/>
      </w:pPr>
      <w:r>
        <w:t>Om arbetsoförmågan beror på våld som avses i lagstiftningen som gäller olycksfall och har inträffat i tjänst/arbetsuppgifter har tjänsteinnehavaren/arbetstagaren rätt till full lön i högst 120 kalenderdagar och därefter till två tredjedelar av den ordinarie lönen i 120 kalenderdagar.</w:t>
      </w:r>
    </w:p>
    <w:p w14:paraId="217C6066" w14:textId="3D4FE9DC" w:rsidR="000D184D" w:rsidRDefault="00477A39">
      <w:pPr>
        <w:pStyle w:val="Brdtext"/>
        <w:spacing w:before="159" w:line="259" w:lineRule="auto"/>
      </w:pPr>
      <w:r>
        <w:t xml:space="preserve">Om arbetsoförmågan beror på en personskada som orsakats </w:t>
      </w:r>
      <w:r w:rsidR="00B83F9C">
        <w:t>genom</w:t>
      </w:r>
      <w:r>
        <w:t xml:space="preserve"> ett brott och som inte har inträffat i tjänsten/arbetsuppgifterna är arbetsgivaren inte skyldig att betala lön för sjukledighetstiden.</w:t>
      </w:r>
    </w:p>
    <w:p w14:paraId="217C6067" w14:textId="7530249B" w:rsidR="000D184D" w:rsidRDefault="00477A39">
      <w:pPr>
        <w:pStyle w:val="Brdtext"/>
        <w:spacing w:line="256" w:lineRule="auto"/>
      </w:pPr>
      <w:r>
        <w:t>För att trygga sina rättigheter måste den anställda inleda en straffprocess och ansöka om ersättningar på rättslig väg av gärning</w:t>
      </w:r>
      <w:r w:rsidR="00B83F9C">
        <w:t>spersonen</w:t>
      </w:r>
      <w:r>
        <w:t xml:space="preserve"> eller </w:t>
      </w:r>
      <w:r w:rsidR="00B83F9C">
        <w:t>från</w:t>
      </w:r>
      <w:r>
        <w:t xml:space="preserve"> statens medel.</w:t>
      </w:r>
    </w:p>
    <w:p w14:paraId="217C6068" w14:textId="77777777" w:rsidR="000D184D" w:rsidRDefault="00477A39">
      <w:pPr>
        <w:pStyle w:val="Rubrik2"/>
        <w:spacing w:before="164"/>
      </w:pPr>
      <w:r>
        <w:t>Rollerna i rätten</w:t>
      </w:r>
    </w:p>
    <w:p w14:paraId="217C6069" w14:textId="77777777" w:rsidR="000D184D" w:rsidRDefault="00477A39">
      <w:pPr>
        <w:pStyle w:val="Brdtext"/>
        <w:spacing w:before="182" w:line="259" w:lineRule="auto"/>
        <w:ind w:right="486"/>
      </w:pPr>
      <w:r>
        <w:t>Handläggningen av ett brottmål i domstolen leds av en domare. I handläggningen deltar dessutom vanligen tre nämndemän. Bötesärenden kan behandlas och avgöras av en domare.</w:t>
      </w:r>
    </w:p>
    <w:p w14:paraId="217C606A" w14:textId="77777777" w:rsidR="000D184D" w:rsidRDefault="00477A39">
      <w:pPr>
        <w:pStyle w:val="Brdtext"/>
        <w:spacing w:before="161" w:line="259" w:lineRule="auto"/>
      </w:pPr>
      <w:r>
        <w:t>Parter i en straffprocess är brottsoffret eller målsäganden, den åtalade eller svaranden och den allmänna åklagaren som lägger fram åtalet som gäller svaranden. För att reda ut fallet i rätten hörs vid behov vittnen.</w:t>
      </w:r>
    </w:p>
    <w:p w14:paraId="217C606B" w14:textId="77777777" w:rsidR="000D184D" w:rsidRDefault="00477A39">
      <w:pPr>
        <w:pStyle w:val="Rubrik2"/>
        <w:spacing w:before="158"/>
      </w:pPr>
      <w:r>
        <w:t>Svarande i rätten</w:t>
      </w:r>
    </w:p>
    <w:p w14:paraId="217C606C" w14:textId="77777777" w:rsidR="000D184D" w:rsidRDefault="000D184D">
      <w:pPr>
        <w:sectPr w:rsidR="000D184D">
          <w:pgSz w:w="11910" w:h="16840"/>
          <w:pgMar w:top="1380" w:right="1340" w:bottom="280" w:left="1340" w:header="720" w:footer="720" w:gutter="0"/>
          <w:cols w:space="720"/>
        </w:sectPr>
      </w:pPr>
    </w:p>
    <w:p w14:paraId="217C606D" w14:textId="102C1B9D" w:rsidR="000D184D" w:rsidRDefault="00477A39">
      <w:pPr>
        <w:pStyle w:val="Brdtext"/>
        <w:spacing w:before="41" w:line="259" w:lineRule="auto"/>
        <w:ind w:right="226"/>
      </w:pPr>
      <w:r>
        <w:lastRenderedPageBreak/>
        <w:t xml:space="preserve">Svaranden underrättas om att åtal har väckts när </w:t>
      </w:r>
      <w:r w:rsidR="00B83F9C">
        <w:t xml:space="preserve">hen </w:t>
      </w:r>
      <w:r>
        <w:t>delges stämning. Stämning delges antingen av domstolen eller åklagaren. Svaranden ska senast i rätten meddela om h</w:t>
      </w:r>
      <w:r w:rsidR="00B83F9C">
        <w:t>en</w:t>
      </w:r>
      <w:r>
        <w:t xml:space="preserve"> erkänner eller förnekar sin skuld till brottet som h</w:t>
      </w:r>
      <w:r w:rsidR="00B83F9C">
        <w:t>en</w:t>
      </w:r>
      <w:r>
        <w:t xml:space="preserve"> anklagas för.</w:t>
      </w:r>
      <w:r w:rsidR="00B83F9C">
        <w:t xml:space="preserve"> S</w:t>
      </w:r>
      <w:r>
        <w:t xml:space="preserve">varanden </w:t>
      </w:r>
      <w:r w:rsidR="00B83F9C">
        <w:t xml:space="preserve">kan också ombes </w:t>
      </w:r>
      <w:r>
        <w:t>svara på åtalet skriftligt redan före rättegången. Svarande ombeds också ta ställning till målsägandens yrkanden.</w:t>
      </w:r>
    </w:p>
    <w:p w14:paraId="217C606E" w14:textId="77777777" w:rsidR="000D184D" w:rsidRDefault="00477A39">
      <w:pPr>
        <w:pStyle w:val="Rubrik2"/>
        <w:spacing w:before="158"/>
      </w:pPr>
      <w:r>
        <w:t>Målsägande i rätten</w:t>
      </w:r>
    </w:p>
    <w:p w14:paraId="217C606F" w14:textId="1769FB9C" w:rsidR="000D184D" w:rsidRDefault="00477A39">
      <w:pPr>
        <w:pStyle w:val="Brdtext"/>
        <w:spacing w:before="183" w:line="259" w:lineRule="auto"/>
        <w:ind w:right="226"/>
      </w:pPr>
      <w:r>
        <w:t>Om målsäganden har ersättningsyrkanden med anledning av ett brott, kan h</w:t>
      </w:r>
      <w:r w:rsidR="00B83F9C">
        <w:t>e</w:t>
      </w:r>
      <w:r>
        <w:t>n be åklagaren framför</w:t>
      </w:r>
      <w:r w:rsidR="00B83F9C">
        <w:t>a</w:t>
      </w:r>
      <w:r>
        <w:t xml:space="preserve"> dessa i rätten. Om yrkandet är klart är åklagaren vanligen skyldig att ta emot uppdraget. Målsäganden kan också kallas till domstolen personligen om h</w:t>
      </w:r>
      <w:r w:rsidR="00B83F9C">
        <w:t>e</w:t>
      </w:r>
      <w:r>
        <w:t>ns närvaro behövs för att utreda ärendet. Då har målsäganden rätt att få ersättning för resekostnader och inkomstbortfall.</w:t>
      </w:r>
    </w:p>
    <w:p w14:paraId="217C6070" w14:textId="77777777" w:rsidR="000D184D" w:rsidRDefault="00477A39">
      <w:pPr>
        <w:pStyle w:val="Rubrik2"/>
        <w:spacing w:before="160"/>
      </w:pPr>
      <w:r>
        <w:t>Skyldighet att inställa sig inför rätta</w:t>
      </w:r>
    </w:p>
    <w:p w14:paraId="217C6071" w14:textId="77777777" w:rsidR="000D184D" w:rsidRDefault="00477A39">
      <w:pPr>
        <w:pStyle w:val="Brdtext"/>
        <w:spacing w:before="183" w:line="259" w:lineRule="auto"/>
      </w:pPr>
      <w:r>
        <w:t>Domstolen eller åklagaren kallar parterna i fallet till rättegång (huvudförhandling). Kallelsen bör läsas noggrant eftersom det framgår av den om man ska komma själv eller om ett ombud kan skickas. Av kallelsen framgår det också om saken kan avgöras trots att en part inte är närvarande.</w:t>
      </w:r>
    </w:p>
    <w:p w14:paraId="217C6072" w14:textId="77777777" w:rsidR="000D184D" w:rsidRDefault="00477A39">
      <w:pPr>
        <w:pStyle w:val="Rubrik2"/>
        <w:spacing w:before="157"/>
      </w:pPr>
      <w:r>
        <w:t>Vittne i rätten</w:t>
      </w:r>
    </w:p>
    <w:p w14:paraId="217C6073" w14:textId="2E3035EA" w:rsidR="000D184D" w:rsidRDefault="00477A39">
      <w:pPr>
        <w:pStyle w:val="Brdtext"/>
        <w:spacing w:before="185" w:line="259" w:lineRule="auto"/>
        <w:ind w:right="171"/>
      </w:pPr>
      <w:r>
        <w:t>Den som kallats som vittne ska alltid inställa sig inför rätta. Rättens ordförande förklarar vid behov för vittnet när h</w:t>
      </w:r>
      <w:r w:rsidR="004933B1">
        <w:t>e</w:t>
      </w:r>
      <w:r>
        <w:t>n kan vägra vittna. Före förhöret ska vittnet avge följande försäkran: ”Jag N.N. lovar och försäkrar på heder och samvete att jag ska vittna och säga hela sanningen i denna sak, utan att förtiga, lägga till eller ändra någonting.” (Rättegångsbalken 17 kap. 44 §). Därefter talar vittnet om vad h</w:t>
      </w:r>
      <w:r w:rsidR="004933B1">
        <w:t>e</w:t>
      </w:r>
      <w:r>
        <w:t>n känner till om fallet. Vittnet måste absolut tala san</w:t>
      </w:r>
      <w:r w:rsidR="004933B1">
        <w:t>ning</w:t>
      </w:r>
      <w:r>
        <w:t xml:space="preserve">. Ett vittne som ljuger eller medvetet förtiger någonting som inverkar på fallet kan åtalas för </w:t>
      </w:r>
      <w:r w:rsidR="004933B1">
        <w:t>falsk</w:t>
      </w:r>
      <w:r>
        <w:t xml:space="preserve"> utsaga. En person som gjort sig skyldig till </w:t>
      </w:r>
      <w:r w:rsidR="004933B1">
        <w:t>falsk</w:t>
      </w:r>
      <w:r>
        <w:t xml:space="preserve"> utsaga döms vanligen till fängelsestraff. Ett vittne har rätt att få ersättning för resekostnader och inkomstbortfall.</w:t>
      </w:r>
    </w:p>
    <w:p w14:paraId="217C6074" w14:textId="77777777" w:rsidR="000D184D" w:rsidRDefault="00477A39">
      <w:pPr>
        <w:pStyle w:val="Rubrik1"/>
        <w:spacing w:before="159"/>
      </w:pPr>
      <w:r>
        <w:rPr>
          <w:color w:val="2E5395"/>
        </w:rPr>
        <w:t>Exponering för smittsamma sjukdomar</w:t>
      </w:r>
    </w:p>
    <w:p w14:paraId="217C6075" w14:textId="77777777" w:rsidR="000D184D" w:rsidRDefault="000D184D">
      <w:pPr>
        <w:pStyle w:val="Brdtext"/>
        <w:spacing w:before="9"/>
        <w:ind w:left="0"/>
        <w:rPr>
          <w:sz w:val="38"/>
        </w:rPr>
      </w:pPr>
    </w:p>
    <w:p w14:paraId="217C6076" w14:textId="77777777" w:rsidR="000D184D" w:rsidRDefault="00477A39">
      <w:pPr>
        <w:pStyle w:val="Rubrik2"/>
        <w:spacing w:before="0"/>
      </w:pPr>
      <w:r>
        <w:t>Anvisning om blodolyckor</w:t>
      </w:r>
    </w:p>
    <w:p w14:paraId="217C6077" w14:textId="77777777" w:rsidR="000D184D" w:rsidRDefault="00477A39">
      <w:pPr>
        <w:pStyle w:val="Brdtext"/>
        <w:spacing w:before="182" w:line="259" w:lineRule="auto"/>
        <w:ind w:right="104"/>
      </w:pPr>
      <w:r>
        <w:t>En blodolycka är exponering för blod eller blodig utsöndring där blodet orsakar en annan person smitta. Det kan handla om att man får ett skär- eller sticksår eller får blod på slemhinnorna eller på hud som har sår eller utslag. Om huden är till synes frisk innebär blodet ingen smittorisk.</w:t>
      </w:r>
    </w:p>
    <w:p w14:paraId="217C6078" w14:textId="77777777" w:rsidR="000D184D" w:rsidRDefault="00477A39">
      <w:pPr>
        <w:pStyle w:val="Brdtext"/>
        <w:spacing w:before="160"/>
      </w:pPr>
      <w:r>
        <w:t>De allvarligaste sjukdomarna som smittar via blod är Hepatit B och C och HIV.</w:t>
      </w:r>
    </w:p>
    <w:p w14:paraId="217C6079" w14:textId="77777777" w:rsidR="000D184D" w:rsidRDefault="00477A39">
      <w:pPr>
        <w:spacing w:before="183"/>
        <w:ind w:left="100"/>
        <w:rPr>
          <w:i/>
        </w:rPr>
      </w:pPr>
      <w:r>
        <w:rPr>
          <w:i/>
        </w:rPr>
        <w:t>Efter en eventuell exponering:</w:t>
      </w:r>
    </w:p>
    <w:p w14:paraId="217C607A" w14:textId="77777777" w:rsidR="000D184D" w:rsidRDefault="00477A39">
      <w:pPr>
        <w:pStyle w:val="Brdtext"/>
        <w:spacing w:before="180" w:line="259" w:lineRule="auto"/>
      </w:pPr>
      <w:r>
        <w:t>Skölj slemhinnorna med en riklig mängd vatten. Stick- eller skärsår sköljs med en riklig mängd vatten och tvål och på såret läggs för ca 2 minuter ett spritomslag (80 procent) om sådant finns tillgängligt i enheten. Kontakta företagshälsovården genast.</w:t>
      </w:r>
    </w:p>
    <w:p w14:paraId="217C607B" w14:textId="77777777" w:rsidR="000D184D" w:rsidRDefault="00477A39">
      <w:pPr>
        <w:pStyle w:val="Brdtext"/>
        <w:spacing w:before="159"/>
      </w:pPr>
      <w:r>
        <w:t>Förebyggande: Sörj för god handhygien och använd vid behov skyddshandskar.</w:t>
      </w:r>
    </w:p>
    <w:p w14:paraId="217C607C" w14:textId="77777777" w:rsidR="000D184D" w:rsidRDefault="000D184D">
      <w:pPr>
        <w:sectPr w:rsidR="000D184D">
          <w:pgSz w:w="11910" w:h="16840"/>
          <w:pgMar w:top="1380" w:right="1340" w:bottom="280" w:left="1340" w:header="720" w:footer="720" w:gutter="0"/>
          <w:cols w:space="720"/>
        </w:sectPr>
      </w:pPr>
    </w:p>
    <w:p w14:paraId="217C607D" w14:textId="77777777" w:rsidR="000D184D" w:rsidRDefault="00477A39">
      <w:pPr>
        <w:pStyle w:val="Rubrik1"/>
        <w:spacing w:before="23"/>
      </w:pPr>
      <w:r>
        <w:rPr>
          <w:color w:val="2E5395"/>
        </w:rPr>
        <w:lastRenderedPageBreak/>
        <w:t xml:space="preserve">Om en anställd avlider </w:t>
      </w:r>
    </w:p>
    <w:p w14:paraId="217C607E" w14:textId="77777777" w:rsidR="000D184D" w:rsidRDefault="000D184D">
      <w:pPr>
        <w:pStyle w:val="Brdtext"/>
        <w:spacing w:before="8"/>
        <w:ind w:left="0"/>
        <w:rPr>
          <w:sz w:val="38"/>
        </w:rPr>
      </w:pPr>
    </w:p>
    <w:p w14:paraId="217C607F" w14:textId="77777777" w:rsidR="000D184D" w:rsidRDefault="00477A39">
      <w:pPr>
        <w:pStyle w:val="Liststycke"/>
        <w:numPr>
          <w:ilvl w:val="0"/>
          <w:numId w:val="1"/>
        </w:numPr>
        <w:tabs>
          <w:tab w:val="left" w:pos="245"/>
        </w:tabs>
        <w:ind w:left="244" w:hanging="145"/>
      </w:pPr>
      <w:r>
        <w:t>Den som har fått kännedom om saken meddelar dödsfallet till chefen.</w:t>
      </w:r>
    </w:p>
    <w:p w14:paraId="217C6080" w14:textId="77777777" w:rsidR="000D184D" w:rsidRDefault="00477A39">
      <w:pPr>
        <w:pStyle w:val="Liststycke"/>
        <w:numPr>
          <w:ilvl w:val="0"/>
          <w:numId w:val="1"/>
        </w:numPr>
        <w:tabs>
          <w:tab w:val="left" w:pos="245"/>
        </w:tabs>
        <w:ind w:left="244" w:hanging="145"/>
      </w:pPr>
      <w:r>
        <w:t>Chefen informerar den övriga personalen (inte via e-post).</w:t>
      </w:r>
    </w:p>
    <w:p w14:paraId="217C6081" w14:textId="77777777" w:rsidR="000D184D" w:rsidRDefault="00477A39">
      <w:pPr>
        <w:pStyle w:val="Liststycke"/>
        <w:numPr>
          <w:ilvl w:val="0"/>
          <w:numId w:val="1"/>
        </w:numPr>
        <w:tabs>
          <w:tab w:val="left" w:pos="245"/>
        </w:tabs>
        <w:ind w:right="928" w:firstLine="0"/>
      </w:pPr>
      <w:r>
        <w:t>Chefen ordnar samma dag en tid och ett rum där situationen kan diskuteras med personalen. Samtidigt kommer man överens om hur man kommer ihåg den avlidnes anhöriga.</w:t>
      </w:r>
    </w:p>
    <w:p w14:paraId="217C6082" w14:textId="77777777" w:rsidR="000D184D" w:rsidRDefault="00477A39">
      <w:pPr>
        <w:pStyle w:val="Liststycke"/>
        <w:numPr>
          <w:ilvl w:val="0"/>
          <w:numId w:val="1"/>
        </w:numPr>
        <w:tabs>
          <w:tab w:val="left" w:pos="245"/>
        </w:tabs>
        <w:ind w:left="244" w:hanging="145"/>
      </w:pPr>
      <w:r>
        <w:t>Chefen frågar de anhöriga om de vill att personalen ska delta i begravningen.</w:t>
      </w:r>
    </w:p>
    <w:p w14:paraId="217C6083" w14:textId="77777777" w:rsidR="000D184D" w:rsidRDefault="000D184D">
      <w:pPr>
        <w:pStyle w:val="Brdtext"/>
        <w:ind w:left="0"/>
      </w:pPr>
    </w:p>
    <w:p w14:paraId="217C6084" w14:textId="77777777" w:rsidR="000D184D" w:rsidRDefault="00477A39">
      <w:pPr>
        <w:pStyle w:val="Rubrik1"/>
        <w:spacing w:before="184"/>
      </w:pPr>
      <w:r>
        <w:rPr>
          <w:color w:val="2E5395"/>
        </w:rPr>
        <w:t>Om det inträffar ett olycksfall i arbetet</w:t>
      </w:r>
    </w:p>
    <w:p w14:paraId="217C6085" w14:textId="77777777" w:rsidR="000D184D" w:rsidRDefault="000D184D">
      <w:pPr>
        <w:pStyle w:val="Brdtext"/>
        <w:spacing w:before="8"/>
        <w:ind w:left="0"/>
        <w:rPr>
          <w:sz w:val="38"/>
        </w:rPr>
      </w:pPr>
    </w:p>
    <w:p w14:paraId="217C6086" w14:textId="1BD91B15" w:rsidR="000D184D" w:rsidRDefault="00477A39">
      <w:pPr>
        <w:pStyle w:val="Brdtext"/>
      </w:pPr>
      <w:r>
        <w:t xml:space="preserve">Olycksfall i arbetet definieras i </w:t>
      </w:r>
      <w:hyperlink r:id="rId5">
        <w:r>
          <w:rPr>
            <w:color w:val="0462C1"/>
            <w:u w:val="single" w:color="0462C1"/>
          </w:rPr>
          <w:t>lagen om olycksfall i arbetet och om yrkessjukdomar</w:t>
        </w:r>
      </w:hyperlink>
      <w:r>
        <w:t xml:space="preserve"> (459/2015).</w:t>
      </w:r>
    </w:p>
    <w:p w14:paraId="217C6087" w14:textId="77777777" w:rsidR="000D184D" w:rsidRDefault="000D184D">
      <w:pPr>
        <w:pStyle w:val="Brdtext"/>
        <w:spacing w:before="9"/>
        <w:ind w:left="0"/>
        <w:rPr>
          <w:sz w:val="11"/>
        </w:rPr>
      </w:pPr>
    </w:p>
    <w:p w14:paraId="217C6088" w14:textId="77777777" w:rsidR="000D184D" w:rsidRDefault="00477A39">
      <w:pPr>
        <w:pStyle w:val="Rubrik2"/>
        <w:spacing w:before="39"/>
      </w:pPr>
      <w:r>
        <w:t>Åtgärder vid ett olycksfall i arbetet</w:t>
      </w:r>
    </w:p>
    <w:p w14:paraId="217C6089" w14:textId="77777777" w:rsidR="000D184D" w:rsidRDefault="00477A39">
      <w:pPr>
        <w:pStyle w:val="Brdtext"/>
        <w:spacing w:before="182"/>
      </w:pPr>
      <w:r>
        <w:t xml:space="preserve">Beroende på hur allvarlig skadan är kontaktas företagshälsovården eller </w:t>
      </w:r>
      <w:r>
        <w:rPr>
          <w:b/>
          <w:bCs/>
        </w:rPr>
        <w:t>112 (nödcentralen)</w:t>
      </w:r>
      <w:r>
        <w:t xml:space="preserve"> genast.</w:t>
      </w:r>
    </w:p>
    <w:p w14:paraId="217C608A" w14:textId="77777777" w:rsidR="000D184D" w:rsidRDefault="000D184D">
      <w:pPr>
        <w:pStyle w:val="Brdtext"/>
        <w:ind w:left="0"/>
      </w:pPr>
    </w:p>
    <w:p w14:paraId="217C608B" w14:textId="77777777" w:rsidR="000D184D" w:rsidRDefault="000D184D">
      <w:pPr>
        <w:pStyle w:val="Brdtext"/>
        <w:spacing w:before="10"/>
        <w:ind w:left="0"/>
        <w:rPr>
          <w:sz w:val="29"/>
        </w:rPr>
      </w:pPr>
    </w:p>
    <w:p w14:paraId="217C608C" w14:textId="77777777" w:rsidR="000D184D" w:rsidRDefault="00477A39">
      <w:pPr>
        <w:pStyle w:val="Rubrik1"/>
        <w:spacing w:before="0"/>
      </w:pPr>
      <w:r>
        <w:rPr>
          <w:color w:val="2E5395"/>
        </w:rPr>
        <w:t>Hot/våld i församlingens lokaler</w:t>
      </w:r>
    </w:p>
    <w:p w14:paraId="217C608D" w14:textId="77777777" w:rsidR="000D184D" w:rsidRDefault="000D184D">
      <w:pPr>
        <w:pStyle w:val="Brdtext"/>
        <w:spacing w:before="10"/>
        <w:ind w:left="0"/>
        <w:rPr>
          <w:sz w:val="38"/>
        </w:rPr>
      </w:pPr>
    </w:p>
    <w:p w14:paraId="217C608E" w14:textId="77777777" w:rsidR="000D184D" w:rsidRDefault="00477A39">
      <w:pPr>
        <w:pStyle w:val="Liststycke"/>
        <w:numPr>
          <w:ilvl w:val="0"/>
          <w:numId w:val="1"/>
        </w:numPr>
        <w:tabs>
          <w:tab w:val="left" w:pos="245"/>
        </w:tabs>
        <w:spacing w:before="1"/>
        <w:ind w:left="244" w:hanging="145"/>
      </w:pPr>
      <w:r>
        <w:t>Gå inte in i en hotfull situation ensam.</w:t>
      </w:r>
    </w:p>
    <w:p w14:paraId="217C608F" w14:textId="77777777" w:rsidR="000D184D" w:rsidRDefault="00477A39">
      <w:pPr>
        <w:pStyle w:val="Liststycke"/>
        <w:numPr>
          <w:ilvl w:val="0"/>
          <w:numId w:val="1"/>
        </w:numPr>
        <w:tabs>
          <w:tab w:val="left" w:pos="245"/>
        </w:tabs>
        <w:ind w:left="244" w:hanging="145"/>
      </w:pPr>
      <w:r>
        <w:t xml:space="preserve">Larma hjälp proaktivt till exempel genom att trycka på bevakningsföretagets trådlösa </w:t>
      </w:r>
      <w:proofErr w:type="spellStart"/>
      <w:r>
        <w:t>larmknapp</w:t>
      </w:r>
      <w:proofErr w:type="spellEnd"/>
      <w:r>
        <w:t>.</w:t>
      </w:r>
    </w:p>
    <w:p w14:paraId="217C6090" w14:textId="77777777" w:rsidR="000D184D" w:rsidRDefault="00477A39">
      <w:pPr>
        <w:pStyle w:val="Liststycke"/>
        <w:numPr>
          <w:ilvl w:val="0"/>
          <w:numId w:val="1"/>
        </w:numPr>
        <w:tabs>
          <w:tab w:val="left" w:pos="245"/>
        </w:tabs>
        <w:ind w:left="244" w:hanging="145"/>
      </w:pPr>
      <w:r>
        <w:t>De som kommer till undsättning förbereder sig redan på förhand på att larma polisen och väktare.</w:t>
      </w:r>
    </w:p>
    <w:p w14:paraId="217C6091" w14:textId="77777777" w:rsidR="000D184D" w:rsidRDefault="00477A39">
      <w:pPr>
        <w:pStyle w:val="Liststycke"/>
        <w:numPr>
          <w:ilvl w:val="0"/>
          <w:numId w:val="1"/>
        </w:numPr>
        <w:tabs>
          <w:tab w:val="left" w:pos="245"/>
        </w:tabs>
        <w:ind w:left="244" w:hanging="145"/>
      </w:pPr>
      <w:r>
        <w:t>Larmnumren ska finnas i telefonen under snabbvalsknapparna.</w:t>
      </w:r>
    </w:p>
    <w:p w14:paraId="217C6092" w14:textId="77777777" w:rsidR="000D184D" w:rsidRDefault="00477A39">
      <w:pPr>
        <w:pStyle w:val="Liststycke"/>
        <w:numPr>
          <w:ilvl w:val="0"/>
          <w:numId w:val="1"/>
        </w:numPr>
        <w:tabs>
          <w:tab w:val="left" w:pos="245"/>
        </w:tabs>
        <w:ind w:left="244" w:hanging="145"/>
      </w:pPr>
      <w:r>
        <w:t>De som kommer till undsättning hjälper vid behov övriga församlingsmedlemmar att sätta sig i säkerhet.</w:t>
      </w:r>
    </w:p>
    <w:p w14:paraId="217C6093" w14:textId="77777777" w:rsidR="000D184D" w:rsidRDefault="00477A39">
      <w:pPr>
        <w:pStyle w:val="Liststycke"/>
        <w:numPr>
          <w:ilvl w:val="0"/>
          <w:numId w:val="1"/>
        </w:numPr>
        <w:tabs>
          <w:tab w:val="left" w:pos="245"/>
        </w:tabs>
        <w:ind w:left="244" w:hanging="145"/>
      </w:pPr>
      <w:r>
        <w:t>Personen som beter sig hotfullt hänvisas ut via närmaste dörr. Låt den hotfulla personen gå först.</w:t>
      </w:r>
    </w:p>
    <w:p w14:paraId="217C6094" w14:textId="77777777" w:rsidR="000D184D" w:rsidRDefault="000D184D">
      <w:pPr>
        <w:pStyle w:val="Brdtext"/>
        <w:ind w:left="0"/>
      </w:pPr>
    </w:p>
    <w:p w14:paraId="217C6095" w14:textId="66CBBC69" w:rsidR="000D184D" w:rsidRDefault="004933B1">
      <w:pPr>
        <w:pStyle w:val="Rubrik2"/>
      </w:pPr>
      <w:r>
        <w:t>Direkt</w:t>
      </w:r>
      <w:r w:rsidR="00477A39">
        <w:t xml:space="preserve"> efter situationen</w:t>
      </w:r>
    </w:p>
    <w:p w14:paraId="217C6096" w14:textId="77777777" w:rsidR="000D184D" w:rsidRDefault="00477A39">
      <w:pPr>
        <w:pStyle w:val="Brdtext"/>
        <w:spacing w:before="183" w:line="259" w:lineRule="auto"/>
        <w:ind w:right="171"/>
      </w:pPr>
      <w:r>
        <w:t xml:space="preserve">Efter en hotfull situation ordnas ett avlastningssamtal (DEFUSING). Enhetens chef ser till att den eller de som varit med om den hotfulla situationen får samtala om det inträffade före arbetsskiftets slut. Under diskussionen lyssnar man på offret samtidigt som man granskar offrets fysiska och psykiska tillstånd samt säkerställer att offret tryggt kan åka hem. Vid behov ger chefen stöd i administrativa och rättsliga förfaringssätt </w:t>
      </w:r>
      <w:proofErr w:type="gramStart"/>
      <w:r>
        <w:t>t.ex.</w:t>
      </w:r>
      <w:proofErr w:type="gramEnd"/>
      <w:r>
        <w:t xml:space="preserve"> sjukledighet eller polisanmälan. Om chefen inte är närvarande ska en arbetskamrat ta ansvaret för detta.</w:t>
      </w:r>
    </w:p>
    <w:p w14:paraId="217C6097" w14:textId="644F8ED7" w:rsidR="000D184D" w:rsidRDefault="00477A39">
      <w:pPr>
        <w:pStyle w:val="Rubrik1"/>
      </w:pPr>
      <w:r>
        <w:rPr>
          <w:color w:val="2E5395"/>
        </w:rPr>
        <w:t>Användning av vapen eller hot i församlingens lokaler</w:t>
      </w:r>
      <w:r w:rsidR="004933B1">
        <w:rPr>
          <w:color w:val="2E5395"/>
        </w:rPr>
        <w:br/>
      </w:r>
    </w:p>
    <w:p w14:paraId="217C6099" w14:textId="2890E88D" w:rsidR="000D184D" w:rsidRDefault="00477A39">
      <w:pPr>
        <w:pStyle w:val="Liststycke"/>
        <w:numPr>
          <w:ilvl w:val="0"/>
          <w:numId w:val="1"/>
        </w:numPr>
        <w:tabs>
          <w:tab w:val="left" w:pos="245"/>
        </w:tabs>
        <w:ind w:right="504" w:firstLine="0"/>
      </w:pPr>
      <w:r>
        <w:t xml:space="preserve">Sök </w:t>
      </w:r>
      <w:r w:rsidR="004933B1">
        <w:t>omedelbart</w:t>
      </w:r>
      <w:r>
        <w:t xml:space="preserve"> skydd i ditt rum, lås dörren och ring nödcentralen (112). Följ de anvisningar som </w:t>
      </w:r>
      <w:r w:rsidR="004933B1">
        <w:t>jourhavande</w:t>
      </w:r>
      <w:r>
        <w:t xml:space="preserve"> vid nödcentralen ger.</w:t>
      </w:r>
    </w:p>
    <w:p w14:paraId="217C609A" w14:textId="10FB2060" w:rsidR="000D184D" w:rsidRDefault="00477A39">
      <w:pPr>
        <w:pStyle w:val="Liststycke"/>
        <w:numPr>
          <w:ilvl w:val="0"/>
          <w:numId w:val="1"/>
        </w:numPr>
        <w:tabs>
          <w:tab w:val="left" w:pos="245"/>
        </w:tabs>
        <w:ind w:left="244" w:hanging="145"/>
      </w:pPr>
      <w:r>
        <w:t xml:space="preserve">Kalla inte </w:t>
      </w:r>
      <w:r w:rsidR="004933B1">
        <w:t xml:space="preserve">på </w:t>
      </w:r>
      <w:r>
        <w:t>dina arbetskamrater till hjälp i situationen utan varna dem genast om det är möjligt.</w:t>
      </w:r>
    </w:p>
    <w:p w14:paraId="217C609B" w14:textId="77777777" w:rsidR="000D184D" w:rsidRDefault="00477A39">
      <w:pPr>
        <w:pStyle w:val="Liststycke"/>
        <w:numPr>
          <w:ilvl w:val="0"/>
          <w:numId w:val="1"/>
        </w:numPr>
        <w:tabs>
          <w:tab w:val="left" w:pos="245"/>
        </w:tabs>
        <w:ind w:right="162" w:firstLine="0"/>
      </w:pPr>
      <w:r>
        <w:t>Om man ser direkt in i ditt arbetsrum till exempel via fönstret ska du placera dig på ett sådant ställe i rummet så att den hotfulla personen inte kan se dig.</w:t>
      </w:r>
    </w:p>
    <w:p w14:paraId="217C609C" w14:textId="77777777" w:rsidR="000D184D" w:rsidRDefault="00477A39">
      <w:pPr>
        <w:pStyle w:val="Liststycke"/>
        <w:numPr>
          <w:ilvl w:val="0"/>
          <w:numId w:val="1"/>
        </w:numPr>
        <w:tabs>
          <w:tab w:val="left" w:pos="245"/>
        </w:tabs>
        <w:ind w:left="244" w:hanging="145"/>
      </w:pPr>
      <w:r>
        <w:t>Ställ din telefon i tyst läge eller stäng av den och släck belysningen i arbetsrummet.</w:t>
      </w:r>
    </w:p>
    <w:p w14:paraId="217C609D" w14:textId="77777777" w:rsidR="000D184D" w:rsidRDefault="000D184D">
      <w:pPr>
        <w:pStyle w:val="Brdtext"/>
        <w:ind w:left="0"/>
      </w:pPr>
    </w:p>
    <w:p w14:paraId="217C609E" w14:textId="77777777" w:rsidR="000D184D" w:rsidRDefault="00477A39">
      <w:pPr>
        <w:pStyle w:val="Rubrik2"/>
      </w:pPr>
      <w:r>
        <w:t>FÖRUTSE RISKEN</w:t>
      </w:r>
    </w:p>
    <w:p w14:paraId="217C609F" w14:textId="77777777" w:rsidR="000D184D" w:rsidRDefault="000D184D">
      <w:pPr>
        <w:sectPr w:rsidR="000D184D">
          <w:pgSz w:w="11910" w:h="16840"/>
          <w:pgMar w:top="1400" w:right="1340" w:bottom="280" w:left="1340" w:header="720" w:footer="720" w:gutter="0"/>
          <w:cols w:space="720"/>
        </w:sectPr>
      </w:pPr>
    </w:p>
    <w:p w14:paraId="217C60A0" w14:textId="77777777" w:rsidR="000D184D" w:rsidRDefault="00477A39">
      <w:pPr>
        <w:pStyle w:val="Liststycke"/>
        <w:numPr>
          <w:ilvl w:val="0"/>
          <w:numId w:val="1"/>
        </w:numPr>
        <w:tabs>
          <w:tab w:val="left" w:pos="245"/>
        </w:tabs>
        <w:spacing w:before="41"/>
        <w:ind w:left="244" w:hanging="145"/>
      </w:pPr>
      <w:r>
        <w:lastRenderedPageBreak/>
        <w:t>Ha larmnumret till hands.</w:t>
      </w:r>
    </w:p>
    <w:p w14:paraId="217C60A1" w14:textId="77777777" w:rsidR="000D184D" w:rsidRDefault="00477A39">
      <w:pPr>
        <w:pStyle w:val="Liststycke"/>
        <w:numPr>
          <w:ilvl w:val="0"/>
          <w:numId w:val="1"/>
        </w:numPr>
        <w:tabs>
          <w:tab w:val="left" w:pos="245"/>
        </w:tabs>
        <w:ind w:left="244" w:hanging="145"/>
      </w:pPr>
      <w:r>
        <w:t>Planera en säker sittplats under möten med klienter, placera ut hinder proaktivt.</w:t>
      </w:r>
    </w:p>
    <w:p w14:paraId="217C60A2" w14:textId="77777777" w:rsidR="000D184D" w:rsidRDefault="00477A39">
      <w:pPr>
        <w:pStyle w:val="Liststycke"/>
        <w:numPr>
          <w:ilvl w:val="0"/>
          <w:numId w:val="1"/>
        </w:numPr>
        <w:tabs>
          <w:tab w:val="left" w:pos="245"/>
        </w:tabs>
        <w:ind w:left="244" w:hanging="145"/>
      </w:pPr>
      <w:r>
        <w:t>Beakta passiva självförsvarsredskap.</w:t>
      </w:r>
    </w:p>
    <w:p w14:paraId="217C60A3" w14:textId="77777777" w:rsidR="000D184D" w:rsidRDefault="00477A39">
      <w:pPr>
        <w:pStyle w:val="Liststycke"/>
        <w:numPr>
          <w:ilvl w:val="0"/>
          <w:numId w:val="1"/>
        </w:numPr>
        <w:tabs>
          <w:tab w:val="left" w:pos="245"/>
        </w:tabs>
        <w:ind w:left="244" w:hanging="145"/>
      </w:pPr>
      <w:r>
        <w:t>Ta bort redskap och föremål som kan användas för att skada en människa (placera dem utom synhåll).</w:t>
      </w:r>
    </w:p>
    <w:p w14:paraId="217C60A4" w14:textId="77777777" w:rsidR="000D184D" w:rsidRDefault="00477A39">
      <w:pPr>
        <w:pStyle w:val="Liststycke"/>
        <w:numPr>
          <w:ilvl w:val="0"/>
          <w:numId w:val="1"/>
        </w:numPr>
        <w:tabs>
          <w:tab w:val="left" w:pos="245"/>
        </w:tabs>
        <w:ind w:left="244" w:hanging="145"/>
      </w:pPr>
      <w:r>
        <w:t>Klienten följs alltid ända ut när dörrarna är låsta.</w:t>
      </w:r>
    </w:p>
    <w:p w14:paraId="217C60A5" w14:textId="77777777" w:rsidR="000D184D" w:rsidRDefault="000D184D">
      <w:pPr>
        <w:pStyle w:val="Brdtext"/>
        <w:ind w:left="0"/>
      </w:pPr>
    </w:p>
    <w:p w14:paraId="217C60A6" w14:textId="77777777" w:rsidR="000D184D" w:rsidRDefault="00477A39">
      <w:pPr>
        <w:pStyle w:val="Rubrik2"/>
        <w:spacing w:before="182"/>
      </w:pPr>
      <w:r>
        <w:t>IDENTIFIERA RISKEN</w:t>
      </w:r>
    </w:p>
    <w:p w14:paraId="217C60A7" w14:textId="77777777" w:rsidR="000D184D" w:rsidRDefault="00477A39">
      <w:pPr>
        <w:pStyle w:val="Liststycke"/>
        <w:numPr>
          <w:ilvl w:val="0"/>
          <w:numId w:val="1"/>
        </w:numPr>
        <w:tabs>
          <w:tab w:val="left" w:pos="245"/>
        </w:tabs>
        <w:spacing w:before="182"/>
        <w:ind w:left="244" w:hanging="145"/>
      </w:pPr>
      <w:r>
        <w:t>Klienter som tidigare har betett sig på ett hotfullt sätt.</w:t>
      </w:r>
    </w:p>
    <w:p w14:paraId="217C60A8" w14:textId="77777777" w:rsidR="000D184D" w:rsidRDefault="00477A39">
      <w:pPr>
        <w:pStyle w:val="Liststycke"/>
        <w:numPr>
          <w:ilvl w:val="0"/>
          <w:numId w:val="1"/>
        </w:numPr>
        <w:tabs>
          <w:tab w:val="left" w:pos="245"/>
        </w:tabs>
        <w:ind w:left="244" w:hanging="145"/>
      </w:pPr>
      <w:r>
        <w:t>Rusmedelspåverkade klienter.</w:t>
      </w:r>
    </w:p>
    <w:p w14:paraId="217C60A9" w14:textId="77777777" w:rsidR="000D184D" w:rsidRDefault="00477A39">
      <w:pPr>
        <w:pStyle w:val="Liststycke"/>
        <w:numPr>
          <w:ilvl w:val="0"/>
          <w:numId w:val="1"/>
        </w:numPr>
        <w:tabs>
          <w:tab w:val="left" w:pos="245"/>
        </w:tabs>
        <w:ind w:left="244" w:hanging="145"/>
      </w:pPr>
      <w:r>
        <w:t>När frågor som kan ”sätta känslorna i svallning” diskuteras.</w:t>
      </w:r>
    </w:p>
    <w:p w14:paraId="217C60AA" w14:textId="77777777" w:rsidR="000D184D" w:rsidRDefault="000D184D">
      <w:pPr>
        <w:pStyle w:val="Brdtext"/>
        <w:ind w:left="0"/>
      </w:pPr>
    </w:p>
    <w:p w14:paraId="217C60AB" w14:textId="77777777" w:rsidR="000D184D" w:rsidRDefault="00477A39">
      <w:pPr>
        <w:pStyle w:val="Rubrik2"/>
      </w:pPr>
      <w:r>
        <w:t>HANDLA PROAKTIVT</w:t>
      </w:r>
    </w:p>
    <w:p w14:paraId="217C60AC" w14:textId="77777777" w:rsidR="000D184D" w:rsidRDefault="00477A39">
      <w:pPr>
        <w:pStyle w:val="Brdtext"/>
        <w:spacing w:before="183"/>
      </w:pPr>
      <w:r>
        <w:t>Larma dina arbetskamrater eller vid behov polisen redan i hotskedet.</w:t>
      </w:r>
    </w:p>
    <w:p w14:paraId="217C60AD" w14:textId="77777777" w:rsidR="000D184D" w:rsidRDefault="00477A39">
      <w:pPr>
        <w:pStyle w:val="Rubrik1"/>
        <w:spacing w:before="184"/>
      </w:pPr>
      <w:r>
        <w:rPr>
          <w:color w:val="2E5395"/>
        </w:rPr>
        <w:t>Eldsvåda</w:t>
      </w:r>
    </w:p>
    <w:p w14:paraId="217C60AE" w14:textId="77777777" w:rsidR="000D184D" w:rsidRDefault="000D184D">
      <w:pPr>
        <w:pStyle w:val="Brdtext"/>
        <w:spacing w:before="8"/>
        <w:ind w:left="0"/>
        <w:rPr>
          <w:sz w:val="38"/>
        </w:rPr>
      </w:pPr>
    </w:p>
    <w:p w14:paraId="217C60AF" w14:textId="77777777" w:rsidR="000D184D" w:rsidRDefault="00477A39">
      <w:pPr>
        <w:pStyle w:val="Brdtext"/>
      </w:pPr>
      <w:r>
        <w:t>När du upptäcker början till en eldsvåda</w:t>
      </w:r>
    </w:p>
    <w:p w14:paraId="217C60B0" w14:textId="77777777" w:rsidR="000D184D" w:rsidRDefault="00477A39">
      <w:pPr>
        <w:pStyle w:val="Liststycke"/>
        <w:numPr>
          <w:ilvl w:val="0"/>
          <w:numId w:val="1"/>
        </w:numPr>
        <w:tabs>
          <w:tab w:val="left" w:pos="245"/>
        </w:tabs>
        <w:spacing w:before="183"/>
        <w:ind w:left="244" w:hanging="145"/>
      </w:pPr>
      <w:r>
        <w:t>Rädda den eller dem som är i fara ur det brinnande rummet och stäng genast dörren till rummet efter dig.</w:t>
      </w:r>
    </w:p>
    <w:p w14:paraId="217C60B1" w14:textId="77777777" w:rsidR="000D184D" w:rsidRDefault="00477A39">
      <w:pPr>
        <w:pStyle w:val="Liststycke"/>
        <w:numPr>
          <w:ilvl w:val="0"/>
          <w:numId w:val="1"/>
        </w:numPr>
        <w:tabs>
          <w:tab w:val="left" w:pos="245"/>
        </w:tabs>
        <w:ind w:right="648" w:firstLine="0"/>
      </w:pPr>
      <w:r>
        <w:t>Ring 112 och anmäl branden. Meddela exakt adress. (Det är bra att ha tjänsten Suomi 112 i smarttelefonen redan på förhand.)</w:t>
      </w:r>
    </w:p>
    <w:p w14:paraId="217C60B2" w14:textId="67E42519" w:rsidR="000D184D" w:rsidRDefault="00477A39">
      <w:pPr>
        <w:pStyle w:val="Liststycke"/>
        <w:numPr>
          <w:ilvl w:val="0"/>
          <w:numId w:val="1"/>
        </w:numPr>
        <w:tabs>
          <w:tab w:val="left" w:pos="245"/>
        </w:tabs>
        <w:ind w:left="244" w:hanging="145"/>
      </w:pPr>
      <w:r>
        <w:t>Avsluta samtalet först när jourhavande vid nödcentralen har gett dig tillstånd.</w:t>
      </w:r>
    </w:p>
    <w:p w14:paraId="217C60B3" w14:textId="3F4161C7" w:rsidR="000D184D" w:rsidRDefault="00477A39">
      <w:pPr>
        <w:pStyle w:val="Liststycke"/>
        <w:numPr>
          <w:ilvl w:val="0"/>
          <w:numId w:val="1"/>
        </w:numPr>
        <w:tabs>
          <w:tab w:val="left" w:pos="245"/>
        </w:tabs>
        <w:ind w:right="718" w:firstLine="0"/>
      </w:pPr>
      <w:r>
        <w:t xml:space="preserve">Ta personerna som befinner sig i brandsektionen till närmaste utrymningsväg och kontrollera att ingen finns </w:t>
      </w:r>
      <w:r w:rsidR="00A6204A">
        <w:t>till exempel</w:t>
      </w:r>
      <w:r>
        <w:t xml:space="preserve"> </w:t>
      </w:r>
      <w:r w:rsidR="00A6204A">
        <w:t>på</w:t>
      </w:r>
      <w:r>
        <w:t xml:space="preserve"> kundtoaletten.</w:t>
      </w:r>
    </w:p>
    <w:p w14:paraId="217C60B4" w14:textId="77777777" w:rsidR="000D184D" w:rsidRDefault="00477A39">
      <w:pPr>
        <w:pStyle w:val="Liststycke"/>
        <w:numPr>
          <w:ilvl w:val="0"/>
          <w:numId w:val="1"/>
        </w:numPr>
        <w:tabs>
          <w:tab w:val="left" w:pos="245"/>
        </w:tabs>
        <w:ind w:left="244" w:hanging="145"/>
      </w:pPr>
      <w:r>
        <w:t>Varje anställd ansvarar för att det egna rummet är tomt.</w:t>
      </w:r>
    </w:p>
    <w:p w14:paraId="217C60B5" w14:textId="77777777" w:rsidR="000D184D" w:rsidRDefault="00477A39">
      <w:pPr>
        <w:pStyle w:val="Liststycke"/>
        <w:numPr>
          <w:ilvl w:val="0"/>
          <w:numId w:val="1"/>
        </w:numPr>
        <w:tabs>
          <w:tab w:val="left" w:pos="245"/>
        </w:tabs>
        <w:ind w:right="979" w:firstLine="0"/>
      </w:pPr>
      <w:r>
        <w:t>Ropa för att göra andra som befinner sig i brandsektionen medvetna om branden och beordra dem att bege sig till samlingsplatsen och stänga dörren när de lämnar arbetsrummet.</w:t>
      </w:r>
    </w:p>
    <w:p w14:paraId="217C60B6" w14:textId="77777777" w:rsidR="000D184D" w:rsidRDefault="00477A39">
      <w:pPr>
        <w:pStyle w:val="Liststycke"/>
        <w:numPr>
          <w:ilvl w:val="0"/>
          <w:numId w:val="1"/>
        </w:numPr>
        <w:tabs>
          <w:tab w:val="left" w:pos="245"/>
        </w:tabs>
        <w:ind w:right="1037" w:firstLine="0"/>
      </w:pPr>
      <w:r>
        <w:t>Försök släcka branden i utrymmet med en primärsläckare om du kan göra det utan att riskera livet (tillräckligt fri från brandgaser).</w:t>
      </w:r>
    </w:p>
    <w:p w14:paraId="217C60B7" w14:textId="77777777" w:rsidR="000D184D" w:rsidRDefault="00477A39">
      <w:pPr>
        <w:pStyle w:val="Liststycke"/>
        <w:numPr>
          <w:ilvl w:val="0"/>
          <w:numId w:val="1"/>
        </w:numPr>
        <w:tabs>
          <w:tab w:val="left" w:pos="245"/>
        </w:tabs>
        <w:ind w:right="1888" w:firstLine="0"/>
      </w:pPr>
      <w:r>
        <w:t>Informera andra som befinner sig i byggnaden om branden och beordra alla att bege sig till den valda samlingsplatsen (fri från brandgaser).</w:t>
      </w:r>
    </w:p>
    <w:p w14:paraId="217C60B8" w14:textId="77777777" w:rsidR="000D184D" w:rsidRDefault="00477A39">
      <w:pPr>
        <w:pStyle w:val="Liststycke"/>
        <w:numPr>
          <w:ilvl w:val="0"/>
          <w:numId w:val="1"/>
        </w:numPr>
        <w:tabs>
          <w:tab w:val="left" w:pos="245"/>
        </w:tabs>
        <w:ind w:left="244" w:hanging="145"/>
      </w:pPr>
      <w:r>
        <w:t>Använd inte hiss.</w:t>
      </w:r>
    </w:p>
    <w:p w14:paraId="217C60B9" w14:textId="77777777" w:rsidR="000D184D" w:rsidRDefault="00477A39">
      <w:pPr>
        <w:pStyle w:val="Liststycke"/>
        <w:numPr>
          <w:ilvl w:val="0"/>
          <w:numId w:val="1"/>
        </w:numPr>
        <w:tabs>
          <w:tab w:val="left" w:pos="245"/>
        </w:tabs>
        <w:ind w:right="332" w:firstLine="0"/>
      </w:pPr>
      <w:r>
        <w:t>På samlingsplatsen sörjer en person i chefsställning för att det fysiska och psykiska tillståndet hos personerna som har berörts av situationen kontrolleras för eventuella ytterligare åtgärder. Här används sjuktransportpersonalen som kommit till platsen som hjälp.</w:t>
      </w:r>
    </w:p>
    <w:p w14:paraId="217C60BA" w14:textId="77777777" w:rsidR="000D184D" w:rsidRDefault="00477A39">
      <w:pPr>
        <w:pStyle w:val="Liststycke"/>
        <w:numPr>
          <w:ilvl w:val="0"/>
          <w:numId w:val="1"/>
        </w:numPr>
        <w:tabs>
          <w:tab w:val="left" w:pos="245"/>
        </w:tabs>
        <w:ind w:right="228" w:firstLine="0"/>
      </w:pPr>
      <w:r>
        <w:t>Visa brandkåren vägen till platsen (eller ge någon annan detta i uppdrag) och var beredd att ge en redogörelse för läget. Det är särskilt viktigt att berätta om det finns personer i utrymmet som brinner.</w:t>
      </w:r>
    </w:p>
    <w:p w14:paraId="217C60BB" w14:textId="77777777" w:rsidR="000D184D" w:rsidRDefault="00477A39">
      <w:pPr>
        <w:pStyle w:val="Liststycke"/>
        <w:numPr>
          <w:ilvl w:val="0"/>
          <w:numId w:val="1"/>
        </w:numPr>
        <w:tabs>
          <w:tab w:val="left" w:pos="245"/>
        </w:tabs>
        <w:ind w:left="244" w:hanging="145"/>
      </w:pPr>
      <w:r>
        <w:t>När brandmyndigheten kommit till platsen tar de ledningsansvaret och deras instruktioner ska följas.</w:t>
      </w:r>
    </w:p>
    <w:sectPr w:rsidR="000D184D">
      <w:pgSz w:w="11910" w:h="16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artti">
    <w:altName w:val="Martti"/>
    <w:panose1 w:val="02000000000000000000"/>
    <w:charset w:val="00"/>
    <w:family w:val="auto"/>
    <w:pitch w:val="variable"/>
    <w:sig w:usb0="800002BF" w:usb1="4000204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85298C"/>
    <w:multiLevelType w:val="hybridMultilevel"/>
    <w:tmpl w:val="31501C6E"/>
    <w:lvl w:ilvl="0" w:tplc="2C8412C0">
      <w:numFmt w:val="bullet"/>
      <w:lvlText w:val="–"/>
      <w:lvlJc w:val="left"/>
      <w:pPr>
        <w:ind w:left="100" w:hanging="144"/>
      </w:pPr>
      <w:rPr>
        <w:rFonts w:ascii="Martti" w:eastAsia="Martti" w:hAnsi="Martti" w:cs="Martti" w:hint="default"/>
        <w:b w:val="0"/>
        <w:bCs w:val="0"/>
        <w:i w:val="0"/>
        <w:iCs w:val="0"/>
        <w:w w:val="100"/>
        <w:sz w:val="22"/>
        <w:szCs w:val="22"/>
        <w:lang w:val="fi-FI" w:eastAsia="en-US" w:bidi="ar-SA"/>
      </w:rPr>
    </w:lvl>
    <w:lvl w:ilvl="1" w:tplc="C80034AE">
      <w:numFmt w:val="bullet"/>
      <w:lvlText w:val="•"/>
      <w:lvlJc w:val="left"/>
      <w:pPr>
        <w:ind w:left="1012" w:hanging="144"/>
      </w:pPr>
      <w:rPr>
        <w:rFonts w:hint="default"/>
        <w:lang w:val="fi-FI" w:eastAsia="en-US" w:bidi="ar-SA"/>
      </w:rPr>
    </w:lvl>
    <w:lvl w:ilvl="2" w:tplc="602A9072">
      <w:numFmt w:val="bullet"/>
      <w:lvlText w:val="•"/>
      <w:lvlJc w:val="left"/>
      <w:pPr>
        <w:ind w:left="1925" w:hanging="144"/>
      </w:pPr>
      <w:rPr>
        <w:rFonts w:hint="default"/>
        <w:lang w:val="fi-FI" w:eastAsia="en-US" w:bidi="ar-SA"/>
      </w:rPr>
    </w:lvl>
    <w:lvl w:ilvl="3" w:tplc="D8E42834">
      <w:numFmt w:val="bullet"/>
      <w:lvlText w:val="•"/>
      <w:lvlJc w:val="left"/>
      <w:pPr>
        <w:ind w:left="2837" w:hanging="144"/>
      </w:pPr>
      <w:rPr>
        <w:rFonts w:hint="default"/>
        <w:lang w:val="fi-FI" w:eastAsia="en-US" w:bidi="ar-SA"/>
      </w:rPr>
    </w:lvl>
    <w:lvl w:ilvl="4" w:tplc="CED2F6EE">
      <w:numFmt w:val="bullet"/>
      <w:lvlText w:val="•"/>
      <w:lvlJc w:val="left"/>
      <w:pPr>
        <w:ind w:left="3750" w:hanging="144"/>
      </w:pPr>
      <w:rPr>
        <w:rFonts w:hint="default"/>
        <w:lang w:val="fi-FI" w:eastAsia="en-US" w:bidi="ar-SA"/>
      </w:rPr>
    </w:lvl>
    <w:lvl w:ilvl="5" w:tplc="922E9AE8">
      <w:numFmt w:val="bullet"/>
      <w:lvlText w:val="•"/>
      <w:lvlJc w:val="left"/>
      <w:pPr>
        <w:ind w:left="4663" w:hanging="144"/>
      </w:pPr>
      <w:rPr>
        <w:rFonts w:hint="default"/>
        <w:lang w:val="fi-FI" w:eastAsia="en-US" w:bidi="ar-SA"/>
      </w:rPr>
    </w:lvl>
    <w:lvl w:ilvl="6" w:tplc="56263FDE">
      <w:numFmt w:val="bullet"/>
      <w:lvlText w:val="•"/>
      <w:lvlJc w:val="left"/>
      <w:pPr>
        <w:ind w:left="5575" w:hanging="144"/>
      </w:pPr>
      <w:rPr>
        <w:rFonts w:hint="default"/>
        <w:lang w:val="fi-FI" w:eastAsia="en-US" w:bidi="ar-SA"/>
      </w:rPr>
    </w:lvl>
    <w:lvl w:ilvl="7" w:tplc="7AD60B14">
      <w:numFmt w:val="bullet"/>
      <w:lvlText w:val="•"/>
      <w:lvlJc w:val="left"/>
      <w:pPr>
        <w:ind w:left="6488" w:hanging="144"/>
      </w:pPr>
      <w:rPr>
        <w:rFonts w:hint="default"/>
        <w:lang w:val="fi-FI" w:eastAsia="en-US" w:bidi="ar-SA"/>
      </w:rPr>
    </w:lvl>
    <w:lvl w:ilvl="8" w:tplc="72803928">
      <w:numFmt w:val="bullet"/>
      <w:lvlText w:val="•"/>
      <w:lvlJc w:val="left"/>
      <w:pPr>
        <w:ind w:left="7401" w:hanging="144"/>
      </w:pPr>
      <w:rPr>
        <w:rFonts w:hint="default"/>
        <w:lang w:val="fi-FI" w:eastAsia="en-US" w:bidi="ar-SA"/>
      </w:rPr>
    </w:lvl>
  </w:abstractNum>
  <w:num w:numId="1" w16cid:durableId="1782604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0D184D"/>
    <w:rsid w:val="000D184D"/>
    <w:rsid w:val="00362DE8"/>
    <w:rsid w:val="003E458A"/>
    <w:rsid w:val="00477A39"/>
    <w:rsid w:val="004933B1"/>
    <w:rsid w:val="009C5D8D"/>
    <w:rsid w:val="00A11388"/>
    <w:rsid w:val="00A6204A"/>
    <w:rsid w:val="00AE2944"/>
    <w:rsid w:val="00B83F9C"/>
    <w:rsid w:val="00E308B1"/>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C6047"/>
  <w15:docId w15:val="{9F407B7B-3C48-4453-8FC4-E25C9907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artti" w:eastAsia="Martti" w:hAnsi="Martti" w:cs="Martti"/>
    </w:rPr>
  </w:style>
  <w:style w:type="paragraph" w:styleId="Rubrik1">
    <w:name w:val="heading 1"/>
    <w:basedOn w:val="Normal"/>
    <w:uiPriority w:val="9"/>
    <w:qFormat/>
    <w:pPr>
      <w:spacing w:before="160"/>
      <w:ind w:left="100"/>
      <w:outlineLvl w:val="0"/>
    </w:pPr>
    <w:rPr>
      <w:sz w:val="26"/>
      <w:szCs w:val="26"/>
    </w:rPr>
  </w:style>
  <w:style w:type="paragraph" w:styleId="Rubrik2">
    <w:name w:val="heading 2"/>
    <w:basedOn w:val="Normal"/>
    <w:uiPriority w:val="9"/>
    <w:unhideWhenUsed/>
    <w:qFormat/>
    <w:pPr>
      <w:spacing w:before="181"/>
      <w:ind w:left="100"/>
      <w:outlineLvl w:val="1"/>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pPr>
      <w:ind w:left="100"/>
    </w:pPr>
  </w:style>
  <w:style w:type="paragraph" w:styleId="Rubrik">
    <w:name w:val="Title"/>
    <w:basedOn w:val="Normal"/>
    <w:uiPriority w:val="10"/>
    <w:qFormat/>
    <w:pPr>
      <w:spacing w:before="83"/>
      <w:ind w:left="100" w:right="2209"/>
    </w:pPr>
    <w:rPr>
      <w:sz w:val="32"/>
      <w:szCs w:val="32"/>
    </w:rPr>
  </w:style>
  <w:style w:type="paragraph" w:styleId="Liststycke">
    <w:name w:val="List Paragraph"/>
    <w:basedOn w:val="Normal"/>
    <w:uiPriority w:val="1"/>
    <w:qFormat/>
    <w:pPr>
      <w:ind w:left="244" w:hanging="14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inlex.fi/sv/laki/ajantasa/2015/2015045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1861</Words>
  <Characters>10613</Characters>
  <Application>Microsoft Office Word</Application>
  <DocSecurity>0</DocSecurity>
  <Lines>88</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Pettinen Sari-Annika</dc:creator>
  <cp:lastModifiedBy>Sten Maria</cp:lastModifiedBy>
  <cp:revision>2</cp:revision>
  <cp:lastPrinted>2024-06-18T08:10:00Z</cp:lastPrinted>
  <dcterms:created xsi:type="dcterms:W3CDTF">2024-06-18T08:12:00Z</dcterms:created>
  <dcterms:modified xsi:type="dcterms:W3CDTF">2024-06-18T08:12:00Z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2023-07-28T00:00:00Z</vt:filetime>
  </property>
  <property fmtid="{D5CDD505-2E9C-101B-9397-08002B2CF9AE}" pid="3" name="Creator">
    <vt:lpwstr>Microsoft® Word for Microsoft 365</vt:lpwstr>
  </property>
  <property fmtid="{D5CDD505-2E9C-101B-9397-08002B2CF9AE}" pid="4" name="LastSaved">
    <vt:filetime>2024-06-07T00:00:00Z</vt:filetime>
  </property>
</Properties>
</file>