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14" w:rsidRDefault="000C1D22" w:rsidP="000C1D22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Bilaga 1</w:t>
      </w:r>
    </w:p>
    <w:p w:rsidR="004E4814" w:rsidRDefault="004E4814" w:rsidP="00272D52"/>
    <w:p w:rsidR="004E4814" w:rsidRDefault="004E4814" w:rsidP="00272D52"/>
    <w:p w:rsidR="004E4814" w:rsidRDefault="004E4814" w:rsidP="00272D52"/>
    <w:p w:rsidR="004E4814" w:rsidRDefault="004E4814" w:rsidP="00272D52"/>
    <w:p w:rsidR="004E4814" w:rsidRPr="009A1C6A" w:rsidRDefault="0005565D" w:rsidP="00272D52">
      <w:pPr>
        <w:rPr>
          <w:b/>
          <w:sz w:val="28"/>
          <w:szCs w:val="28"/>
        </w:rPr>
      </w:pPr>
      <w:r>
        <w:rPr>
          <w:b/>
          <w:sz w:val="28"/>
        </w:rPr>
        <w:t xml:space="preserve">Gemensam uppgiftsklassificering för församlingar och kyrkliga samfälligheter </w:t>
      </w:r>
    </w:p>
    <w:p w:rsidR="009A1C6A" w:rsidRDefault="009A1C6A" w:rsidP="00272D52"/>
    <w:p w:rsidR="00272D52" w:rsidRDefault="0005565D" w:rsidP="00272D52">
      <w:r>
        <w:t>18.1.2013</w:t>
      </w:r>
    </w:p>
    <w:p w:rsidR="004E4814" w:rsidRDefault="004E4814"/>
    <w:p w:rsidR="001E07E1" w:rsidRDefault="001E07E1"/>
    <w:sdt>
      <w:sdtPr>
        <w:rPr>
          <w:rFonts w:ascii="Arial" w:eastAsiaTheme="minorHAnsi" w:hAnsi="Arial" w:cs="Times New Roman"/>
          <w:b w:val="0"/>
          <w:bCs w:val="0"/>
          <w:color w:val="auto"/>
          <w:sz w:val="24"/>
          <w:szCs w:val="22"/>
        </w:rPr>
        <w:id w:val="12108688"/>
        <w:docPartObj>
          <w:docPartGallery w:val="Table of Contents"/>
          <w:docPartUnique/>
        </w:docPartObj>
      </w:sdtPr>
      <w:sdtEndPr/>
      <w:sdtContent>
        <w:p w:rsidR="001E07E1" w:rsidRDefault="001E07E1">
          <w:pPr>
            <w:pStyle w:val="Sisllysluettelonotsikko"/>
            <w:rPr>
              <w:rFonts w:asciiTheme="minorHAnsi" w:hAnsiTheme="minorHAnsi" w:cstheme="minorHAnsi"/>
              <w:color w:val="auto"/>
            </w:rPr>
          </w:pPr>
          <w:r>
            <w:rPr>
              <w:rFonts w:asciiTheme="minorHAnsi" w:hAnsiTheme="minorHAnsi" w:cstheme="minorHAnsi"/>
              <w:color w:val="auto"/>
            </w:rPr>
            <w:t>Innehåll</w:t>
          </w:r>
        </w:p>
        <w:p w:rsidR="001E07E1" w:rsidRPr="001E07E1" w:rsidRDefault="001E07E1" w:rsidP="001E07E1"/>
        <w:p w:rsidR="00FF09D3" w:rsidRDefault="00C3274F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r>
            <w:fldChar w:fldCharType="begin"/>
          </w:r>
          <w:r w:rsidR="001E07E1">
            <w:instrText xml:space="preserve"> TOC \h \z \t "Mervin oma otsikko 2;1" </w:instrText>
          </w:r>
          <w:r>
            <w:fldChar w:fldCharType="separate"/>
          </w:r>
          <w:hyperlink w:anchor="_Toc358289427" w:history="1">
            <w:r w:rsidR="00FF09D3" w:rsidRPr="00DF67E8">
              <w:rPr>
                <w:rStyle w:val="Hyperlinkki"/>
                <w:noProof/>
              </w:rPr>
              <w:t>00 Förvaltning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_Toc358289427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2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28" w:history="1">
            <w:r w:rsidR="00FF09D3" w:rsidRPr="00DF67E8">
              <w:rPr>
                <w:rStyle w:val="Hyperlinkki"/>
                <w:noProof/>
              </w:rPr>
              <w:t>01 Personal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_Toc358289428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4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29" w:history="1">
            <w:r w:rsidR="00FF09D3" w:rsidRPr="00DF67E8">
              <w:rPr>
                <w:rStyle w:val="Hyperlinkki"/>
                <w:noProof/>
              </w:rPr>
              <w:t>02 Ekonomi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_Toc358289429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6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30" w:history="1">
            <w:r w:rsidR="00FF09D3" w:rsidRPr="00DF67E8">
              <w:rPr>
                <w:rStyle w:val="Hyperlinkki"/>
                <w:noProof/>
              </w:rPr>
              <w:t>03 Fastigheter, markanvändning och byggande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_Toc358289430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8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31" w:history="1">
            <w:r w:rsidR="00FF09D3" w:rsidRPr="00DF67E8">
              <w:rPr>
                <w:rStyle w:val="Hyperlinkki"/>
                <w:noProof/>
              </w:rPr>
              <w:t>04 Församlingsarbete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_Toc358289431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9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32" w:history="1">
            <w:r w:rsidR="00FF09D3" w:rsidRPr="00DF67E8">
              <w:rPr>
                <w:rStyle w:val="Hyperlinkki"/>
                <w:noProof/>
              </w:rPr>
              <w:t>05 Begravningsväsende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_Toc358289432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11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33" w:history="1">
            <w:r w:rsidR="00FF09D3" w:rsidRPr="00DF67E8">
              <w:rPr>
                <w:rStyle w:val="Hyperlinkki"/>
                <w:noProof/>
              </w:rPr>
              <w:t>06 Kommunikation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_Toc358289433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12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FF09D3" w:rsidRDefault="00B061AA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val="fi-FI" w:eastAsia="fi-FI" w:bidi="ar-SA"/>
            </w:rPr>
          </w:pPr>
          <w:hyperlink w:anchor="_Toc358289434" w:history="1">
            <w:r w:rsidR="00FF09D3" w:rsidRPr="00DF67E8">
              <w:rPr>
                <w:rStyle w:val="Hyperlinkki"/>
                <w:noProof/>
              </w:rPr>
              <w:t>07 Informationshantering och informationsförvaltning</w:t>
            </w:r>
            <w:r w:rsidR="00FF09D3">
              <w:rPr>
                <w:noProof/>
                <w:webHidden/>
              </w:rPr>
              <w:tab/>
            </w:r>
            <w:r w:rsidR="00FF09D3">
              <w:rPr>
                <w:noProof/>
                <w:webHidden/>
              </w:rPr>
              <w:fldChar w:fldCharType="begin"/>
            </w:r>
            <w:r w:rsidR="00FF09D3">
              <w:rPr>
                <w:noProof/>
                <w:webHidden/>
              </w:rPr>
              <w:instrText xml:space="preserve"> PAGEREF _Toc358289434 \h </w:instrText>
            </w:r>
            <w:r w:rsidR="00FF09D3">
              <w:rPr>
                <w:noProof/>
                <w:webHidden/>
              </w:rPr>
            </w:r>
            <w:r w:rsidR="00FF09D3">
              <w:rPr>
                <w:noProof/>
                <w:webHidden/>
              </w:rPr>
              <w:fldChar w:fldCharType="separate"/>
            </w:r>
            <w:r w:rsidR="00FF09D3">
              <w:rPr>
                <w:noProof/>
                <w:webHidden/>
              </w:rPr>
              <w:t>13</w:t>
            </w:r>
            <w:r w:rsidR="00FF09D3">
              <w:rPr>
                <w:noProof/>
                <w:webHidden/>
              </w:rPr>
              <w:fldChar w:fldCharType="end"/>
            </w:r>
          </w:hyperlink>
        </w:p>
        <w:p w:rsidR="000C1D22" w:rsidRDefault="00C3274F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end"/>
          </w:r>
        </w:p>
      </w:sdtContent>
    </w:sdt>
    <w:p w:rsidR="004E4814" w:rsidRDefault="004E4814"/>
    <w:p w:rsidR="004E4814" w:rsidRDefault="004E4814"/>
    <w:p w:rsidR="004E4814" w:rsidRDefault="004E4814"/>
    <w:p w:rsidR="004E4814" w:rsidRDefault="004E4814"/>
    <w:p w:rsidR="004E4814" w:rsidRDefault="004E4814">
      <w:r>
        <w:br w:type="page"/>
      </w:r>
    </w:p>
    <w:p w:rsidR="004E4814" w:rsidRPr="004E4814" w:rsidRDefault="004E4814" w:rsidP="004E4814">
      <w:pPr>
        <w:pStyle w:val="Mervinomaotsikko2"/>
      </w:pPr>
      <w:bookmarkStart w:id="1" w:name="_Toc346551079"/>
      <w:bookmarkStart w:id="2" w:name="_Toc358289427"/>
      <w:r>
        <w:lastRenderedPageBreak/>
        <w:t>00 Förvaltning</w:t>
      </w:r>
      <w:bookmarkEnd w:id="1"/>
      <w:bookmarkEnd w:id="2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bookmarkStart w:id="3" w:name="RANGE!A1"/>
            <w:r>
              <w:rPr>
                <w:b/>
                <w:color w:val="3F3151"/>
                <w:sz w:val="18"/>
              </w:rPr>
              <w:t xml:space="preserve">1. </w:t>
            </w:r>
            <w:bookmarkEnd w:id="3"/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FÖRVALTNING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Styrning av förvaltningsärenden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Församlingsval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0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Organens sammansättning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val/nominering av organens ordförande; 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  <w:sz w:val="18"/>
              </w:rPr>
              <w:t xml:space="preserve">tillsättande av kommittéer och motsvarande; </w:t>
            </w:r>
            <w:r>
              <w:br/>
            </w:r>
            <w:r>
              <w:rPr>
                <w:color w:val="000000"/>
                <w:sz w:val="18"/>
              </w:rPr>
              <w:t>beviljande av avsked från medlemskap i organ</w:t>
            </w:r>
          </w:p>
          <w:p w:rsidR="00AF1C79" w:rsidRPr="0005565D" w:rsidRDefault="00AF1C79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Val av lekmannaombud till kyrkomötet och lekmannamedlemmar till stiftsrådet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Planering, genomförande, utveckling och uppföljning av verksamheten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i/>
                <w:sz w:val="18"/>
              </w:rPr>
              <w:t>strategiska riktlinjer, skapande av ramar för verksamheten</w:t>
            </w:r>
          </w:p>
        </w:tc>
      </w:tr>
      <w:tr w:rsidR="0005565D" w:rsidRPr="0005565D" w:rsidTr="00AF1C79">
        <w:trPr>
          <w:trHeight w:val="132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Grundande, sammanslagning, indragning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församling/kyrklig samfällighet;</w:t>
            </w:r>
            <w:r>
              <w:br/>
            </w:r>
            <w:r>
              <w:rPr>
                <w:sz w:val="18"/>
              </w:rPr>
              <w:t>enheter, stödtjänster, operativa regioncentraler;</w:t>
            </w:r>
            <w:r>
              <w:br/>
            </w:r>
            <w:r>
              <w:rPr>
                <w:sz w:val="18"/>
              </w:rPr>
              <w:t>församlingsindelningar, områdessammanslagningar, sammanslagning och delning av församlingar;</w:t>
            </w:r>
            <w:r>
              <w:br/>
            </w:r>
            <w:r>
              <w:rPr>
                <w:sz w:val="18"/>
              </w:rPr>
              <w:t>grundande av bolag och stiftelser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Organisering av förvaltningen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stadgar, direktiv</w:t>
            </w:r>
          </w:p>
        </w:tc>
      </w:tr>
      <w:tr w:rsidR="0005565D" w:rsidRPr="0005565D" w:rsidTr="00AF1C79">
        <w:trPr>
          <w:trHeight w:val="12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Planering och uppföljning av verksamheten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vision, strategi, verksamhetsplan (jfr Ekonomi 02 01 00), verksamhetsberättelse;</w:t>
            </w:r>
            <w:r>
              <w:br/>
            </w:r>
            <w:r>
              <w:br/>
            </w:r>
            <w:r>
              <w:br/>
            </w:r>
            <w:r>
              <w:rPr>
                <w:i/>
                <w:sz w:val="18"/>
              </w:rPr>
              <w:t xml:space="preserve">allmänna strategier här, områdesspecifika strategier under respektive uppgift 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Förfaranden för utvärdering och utveckling av verksamheten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Miljöansvar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bl.a. kyrkans miljödiplom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Riskhantering och intern kontroll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Säkerhet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beredskapsplanering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Projektverksamhet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 xml:space="preserve">organisationsomfattande projekt, områdesspecifika projekt i anslutning till uppgiften </w:t>
            </w:r>
          </w:p>
          <w:p w:rsidR="00AF1C79" w:rsidRPr="0005565D" w:rsidRDefault="00AF1C79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5565D" w:rsidRPr="00AF1C79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565D" w:rsidRPr="00AF1C79" w:rsidRDefault="0005565D" w:rsidP="00AF1C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Koncern- och ägarstyrning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B061AA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hyperlink r:id="rId8" w:anchor="True">
              <w:r w:rsidR="00680DE5">
                <w:rPr>
                  <w:b/>
                  <w:color w:val="000000"/>
                  <w:sz w:val="18"/>
                </w:rPr>
                <w:t>Beslutsfattande och ledning</w:t>
              </w:r>
            </w:hyperlink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Gemensamma kyrkofullmäktige/Kyrkofullmäktige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möteskallelser och mötesanslag</w:t>
            </w:r>
            <w:r>
              <w:br/>
            </w:r>
            <w:r>
              <w:rPr>
                <w:color w:val="000000"/>
                <w:sz w:val="18"/>
              </w:rPr>
              <w:t>föredragningslistor och protokoll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Gemensamma kyrkorådet/Kyrkorådet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möteskallelser och mötesanslag</w:t>
            </w:r>
            <w:r>
              <w:br/>
            </w:r>
            <w:r>
              <w:rPr>
                <w:color w:val="000000"/>
                <w:sz w:val="18"/>
              </w:rPr>
              <w:t>föredragningslistor och protokoll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Församlingsråd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möteskallelser och mötesanslag</w:t>
            </w:r>
            <w:r>
              <w:br/>
            </w:r>
            <w:r>
              <w:rPr>
                <w:color w:val="000000"/>
                <w:sz w:val="18"/>
              </w:rPr>
              <w:t>föredragningslistor och protokoll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Direktioner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möteskallelser och mötesanslag</w:t>
            </w:r>
            <w:r>
              <w:br/>
            </w:r>
            <w:r>
              <w:rPr>
                <w:color w:val="000000"/>
                <w:sz w:val="18"/>
              </w:rPr>
              <w:t>föredragningslistor och protokoll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Kommittéer och nämnder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möteskallelser och mötesanslag</w:t>
            </w:r>
            <w:r>
              <w:br/>
            </w:r>
            <w:r>
              <w:rPr>
                <w:color w:val="000000"/>
                <w:sz w:val="18"/>
              </w:rPr>
              <w:t>föredragningslistor och protokoll</w:t>
            </w:r>
          </w:p>
        </w:tc>
      </w:tr>
      <w:tr w:rsidR="0005565D" w:rsidRPr="0005565D" w:rsidTr="00AF1C79">
        <w:trPr>
          <w:trHeight w:val="73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Beslutsfattande i församlingsdel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bl.a. områdesråd, kapellråd, distriktsråd (möteskallelser och mötesanslag;</w:t>
            </w:r>
            <w:r>
              <w:br/>
            </w:r>
            <w:r>
              <w:rPr>
                <w:color w:val="000000"/>
                <w:sz w:val="18"/>
              </w:rPr>
              <w:t>föredragningslistor och protokoll)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Rådgivande och kollegiala möten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bl.a. ledningsgrupper, kyrkoherdar (möteskallelser och mötesanslag;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föredragningslistor och protokoll)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Revisionsverksamhet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Intern revision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Biskopsvisitation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Övriga gra</w:t>
            </w:r>
            <w:r w:rsidR="00FF09D3">
              <w:rPr>
                <w:color w:val="000000"/>
                <w:sz w:val="18"/>
              </w:rPr>
              <w:t>n</w:t>
            </w:r>
            <w:r>
              <w:rPr>
                <w:color w:val="000000"/>
                <w:sz w:val="18"/>
              </w:rPr>
              <w:t>skningar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Granskningar utförda av Kyrkostyrelsen, Kommunernas pensionsförsäkring m.fl., skattegranskningar 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Skötsel av juridiska ärenden, ersättningsärenden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7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Juridiska 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bevakning av juridiska intressen och utövande av rätten att föra talan i förvaltningsärenden, privaträttsliga ärenden, brottmål</w:t>
            </w:r>
          </w:p>
        </w:tc>
      </w:tr>
      <w:tr w:rsidR="0005565D" w:rsidRPr="0005565D" w:rsidTr="00AF1C79">
        <w:trPr>
          <w:trHeight w:val="9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Ersättningsärenden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yrkanden av församlingen och yrkanden mot församlingen, t.ex. skadeståndsärenden såsom halkolyckor, fastighetsskador, fordonsskador</w:t>
            </w:r>
          </w:p>
        </w:tc>
      </w:tr>
      <w:tr w:rsidR="0005565D" w:rsidRPr="0005565D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Utlåtanden och ställningstaganden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4E4814" w:rsidRDefault="0005565D" w:rsidP="0005565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utlåtanden på begäran av t.ex. Kyrkostyrelsen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Samarbete och PR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4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Samarbete, medlemskap, representation och PR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samarbetsavtal;</w:t>
            </w:r>
            <w:r>
              <w:br/>
            </w:r>
            <w:r>
              <w:rPr>
                <w:color w:val="000000"/>
                <w:sz w:val="18"/>
              </w:rPr>
              <w:t>inrättande av samarbetsråd och motsvarande, deras sammansättning och verksamhet (möteskallelser, föredragningslistor och protokoll);</w:t>
            </w:r>
            <w:r>
              <w:br/>
            </w:r>
            <w:r>
              <w:rPr>
                <w:color w:val="000000"/>
                <w:sz w:val="18"/>
              </w:rPr>
              <w:t>medlemskap i föreningar och stiftelser;</w:t>
            </w:r>
            <w:r>
              <w:br/>
            </w:r>
            <w:r>
              <w:rPr>
                <w:color w:val="000000"/>
                <w:sz w:val="18"/>
              </w:rPr>
              <w:t>mottagningar, besök etc.</w:t>
            </w:r>
          </w:p>
        </w:tc>
      </w:tr>
      <w:tr w:rsidR="0005565D" w:rsidRPr="0005565D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Evenemang och tillställningar (som arrangeras i samarbete med andra)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evenemang som arrangeras i samarbete med externa aktörer, t.ex. Kyrkodagarna, andra enskilda stora evenemang</w:t>
            </w:r>
          </w:p>
        </w:tc>
      </w:tr>
    </w:tbl>
    <w:p w:rsidR="004E4814" w:rsidRDefault="004E4814" w:rsidP="00272D52"/>
    <w:p w:rsidR="004E4814" w:rsidRDefault="004E4814">
      <w:r>
        <w:br w:type="page"/>
      </w:r>
    </w:p>
    <w:p w:rsidR="004E4814" w:rsidRPr="004E4814" w:rsidRDefault="004E4814" w:rsidP="004E4814">
      <w:pPr>
        <w:pStyle w:val="Mervinomaotsikko2"/>
      </w:pPr>
      <w:bookmarkStart w:id="4" w:name="_Toc346551080"/>
      <w:bookmarkStart w:id="5" w:name="_Toc358289428"/>
      <w:r>
        <w:lastRenderedPageBreak/>
        <w:t>01 Personal</w:t>
      </w:r>
      <w:bookmarkEnd w:id="4"/>
      <w:bookmarkEnd w:id="5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PERSONAL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Styrning av personalärenden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Arbetsgivar- och personalpolitik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personalstrategi, personalplan, personalpolicy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Allmänna tjänste- och arbetskollektivavtalsärenden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C1D22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Personalplanering och rapportering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C1D22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Anställningar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51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Hantering av anställningar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 xml:space="preserve">inrättande (av tjänster)/ingående (av anställningsförhållanden), ändring, indragning; t.ex. ändring av status från visstidsanställd till ordinarie, ändring av tjänstebeteckning </w:t>
            </w:r>
            <w:r>
              <w:br/>
            </w:r>
          </w:p>
          <w:p w:rsidR="0005565D" w:rsidRDefault="0005565D" w:rsidP="0005565D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</w:rPr>
            </w:pPr>
            <w:r>
              <w:br/>
            </w:r>
            <w:r>
              <w:rPr>
                <w:i/>
                <w:sz w:val="18"/>
              </w:rPr>
              <w:t>befattningsbeskrivning i samband med ny anställning/ändring av anställning</w:t>
            </w:r>
          </w:p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5565D" w:rsidRPr="0005565D" w:rsidTr="00AF1C79">
        <w:trPr>
          <w:trHeight w:val="17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Anställning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AF1C79" w:rsidRDefault="0005565D" w:rsidP="0005565D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tillsättningstillstånd, anställning eller oavlönad anställning (bl.a. ordinarie, tidsbundna, vikarier, praktikanter);</w:t>
            </w:r>
            <w:r>
              <w:br/>
            </w:r>
            <w:r>
              <w:rPr>
                <w:color w:val="000000"/>
                <w:sz w:val="18"/>
              </w:rPr>
              <w:t>förlängning av visstidsanställning</w:t>
            </w:r>
            <w:r>
              <w:br/>
            </w:r>
            <w:r>
              <w:br/>
            </w:r>
            <w:r>
              <w:rPr>
                <w:i/>
                <w:color w:val="000000"/>
                <w:sz w:val="18"/>
              </w:rPr>
              <w:t>i samband med anställning anges att valbeslutet fastställts efter att läkarintyg eller straffregisterutdrag lämnats in</w:t>
            </w:r>
          </w:p>
        </w:tc>
      </w:tr>
      <w:tr w:rsidR="0005565D" w:rsidRPr="0005565D" w:rsidTr="00AF1C79">
        <w:trPr>
          <w:trHeight w:val="11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Anställning inleds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mottagande av befattningen;</w:t>
            </w:r>
            <w:r>
              <w:br/>
            </w:r>
            <w:r>
              <w:rPr>
                <w:color w:val="000000"/>
                <w:sz w:val="18"/>
              </w:rPr>
              <w:t>fastställande av lön;</w:t>
            </w:r>
            <w:r>
              <w:br/>
            </w:r>
            <w:r>
              <w:rPr>
                <w:color w:val="000000"/>
                <w:sz w:val="18"/>
              </w:rPr>
              <w:t>beviljande av passerkort, användarrättigheter mm.;</w:t>
            </w:r>
            <w:r>
              <w:br/>
            </w:r>
            <w:r>
              <w:rPr>
                <w:color w:val="000000"/>
                <w:sz w:val="18"/>
              </w:rPr>
              <w:t>förbindelse att iaktta sekretess/datasäkerhet;</w:t>
            </w:r>
            <w:r>
              <w:br/>
            </w:r>
            <w:r>
              <w:rPr>
                <w:color w:val="000000"/>
                <w:sz w:val="18"/>
              </w:rPr>
              <w:t>inskolning</w:t>
            </w:r>
          </w:p>
        </w:tc>
      </w:tr>
      <w:tr w:rsidR="0005565D" w:rsidRPr="0005565D" w:rsidTr="00AF1C79">
        <w:trPr>
          <w:trHeight w:val="337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Hantering av anställningar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C79" w:rsidRPr="0005565D" w:rsidRDefault="0005565D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utvecklingssamtal, mål- och utvärderingssamtal;</w:t>
            </w:r>
            <w:r>
              <w:br/>
            </w:r>
            <w:r>
              <w:rPr>
                <w:color w:val="000000"/>
                <w:sz w:val="18"/>
              </w:rPr>
              <w:t>mertids- och övertidsarbete;</w:t>
            </w:r>
            <w:r>
              <w:br/>
            </w:r>
            <w:r>
              <w:rPr>
                <w:color w:val="000000"/>
                <w:sz w:val="18"/>
              </w:rPr>
              <w:t>skötsel av bisyssla;</w:t>
            </w:r>
            <w:r>
              <w:br/>
            </w:r>
            <w:r>
              <w:rPr>
                <w:color w:val="000000"/>
                <w:sz w:val="18"/>
              </w:rPr>
              <w:t>semestrar (även sparad ledighet);</w:t>
            </w:r>
            <w:r>
              <w:br/>
            </w:r>
            <w:r>
              <w:rPr>
                <w:color w:val="000000"/>
                <w:sz w:val="18"/>
              </w:rPr>
              <w:t>avbrott i anställning (sjukledighet, familjeledighet, studieledighet, alterneringsledighet, arbetsolyckor) samt avbrott i och flyttning av beviljade ledigheter;</w:t>
            </w:r>
            <w:r>
              <w:br/>
            </w:r>
            <w:r>
              <w:rPr>
                <w:color w:val="000000"/>
                <w:sz w:val="18"/>
              </w:rPr>
              <w:t>vikariat;</w:t>
            </w:r>
            <w:r>
              <w:br/>
            </w:r>
            <w:r>
              <w:rPr>
                <w:color w:val="000000"/>
                <w:sz w:val="18"/>
              </w:rPr>
              <w:t>deltidsarbete (och ändring av arbetstid);</w:t>
            </w:r>
            <w:r>
              <w:br/>
            </w:r>
            <w:r>
              <w:rPr>
                <w:color w:val="000000"/>
                <w:sz w:val="18"/>
              </w:rPr>
              <w:t>arbetstidsbank;</w:t>
            </w:r>
            <w:r>
              <w:br/>
            </w:r>
            <w:r>
              <w:rPr>
                <w:color w:val="000000"/>
                <w:sz w:val="18"/>
              </w:rPr>
              <w:t>distansarbete;</w:t>
            </w:r>
            <w:r>
              <w:br/>
            </w:r>
            <w:r>
              <w:rPr>
                <w:color w:val="000000"/>
                <w:sz w:val="18"/>
              </w:rPr>
              <w:t>permittering;</w:t>
            </w:r>
            <w:r>
              <w:br/>
            </w:r>
            <w:r>
              <w:rPr>
                <w:color w:val="000000"/>
                <w:sz w:val="18"/>
              </w:rPr>
              <w:t>tjänsteförseelser/disciplinära åtgärder;</w:t>
            </w:r>
            <w:r>
              <w:br/>
            </w:r>
            <w:r>
              <w:rPr>
                <w:color w:val="000000"/>
                <w:sz w:val="18"/>
              </w:rPr>
              <w:t>bedömning av arbetsförmågan;</w:t>
            </w:r>
            <w:r>
              <w:br/>
            </w:r>
            <w:r>
              <w:rPr>
                <w:color w:val="000000"/>
                <w:sz w:val="18"/>
              </w:rPr>
              <w:t>beslut om tjänsteställe</w:t>
            </w:r>
          </w:p>
        </w:tc>
      </w:tr>
      <w:tr w:rsidR="0005565D" w:rsidRPr="0005565D" w:rsidTr="00AF1C79">
        <w:trPr>
          <w:trHeight w:val="6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Anställningen upphör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uppsägning från arbetsgivarens respektive arbetstagarens sida (även på grund av pensionering), hävning av anställning, upphörande av anställning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Löner, arvoden och ersättningar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07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Grunder för löner, lönetillägg och arvoden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beräkningsgrunder, arbetstidsuppföljning, ansökningar om ersättning från försäkringsbolag/Fpa, redovisningar och anmälningar</w:t>
            </w:r>
            <w:r>
              <w:br/>
            </w:r>
            <w:r>
              <w:br/>
            </w:r>
            <w:r>
              <w:rPr>
                <w:i/>
                <w:sz w:val="18"/>
              </w:rPr>
              <w:t>även anvisningar om t.ex. arvoden</w:t>
            </w:r>
          </w:p>
        </w:tc>
      </w:tr>
      <w:tr w:rsidR="0005565D" w:rsidRPr="0005565D" w:rsidTr="00AF1C79">
        <w:trPr>
          <w:trHeight w:val="124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01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Utbetalning av lön och lönetillägg samt naturaförmåner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löneräkning, årsbunden lönedel, personlig del, ersättningar för uppgifter vid sidan av egen tjänst, tidsbegränsad ändring av grundlönen, justeringar av kravgrupp och lönesättning, naturaförmåner, lönedebiteringar</w:t>
            </w:r>
          </w:p>
        </w:tc>
      </w:tr>
      <w:tr w:rsidR="0005565D" w:rsidRPr="0005565D" w:rsidTr="00AF1C79">
        <w:trPr>
          <w:trHeight w:val="12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Utbetalning av arvoden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förtroendemannaarvoden, arvoden för arbetarskyddsfullmäktige, arvoden för praktikanthandledning, arvoden för förtroendevalda, mötesarvoden, förrättningsarvoden, honorar</w:t>
            </w:r>
          </w:p>
        </w:tc>
      </w:tr>
      <w:tr w:rsidR="0005565D" w:rsidRPr="0005565D" w:rsidTr="00AF1C79">
        <w:trPr>
          <w:trHeight w:val="12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resplaner, reserapporter, förordnanden om tjänsteresor inom landet och utomlands;</w:t>
            </w:r>
            <w:r>
              <w:br/>
            </w:r>
            <w:r>
              <w:rPr>
                <w:color w:val="000000"/>
                <w:sz w:val="18"/>
              </w:rPr>
              <w:t>beviljande av rätt att använda egen bil eller kollektivtrafikbiljetter</w:t>
            </w:r>
          </w:p>
        </w:tc>
      </w:tr>
      <w:tr w:rsidR="0005565D" w:rsidRPr="0005565D" w:rsidTr="00AF1C79">
        <w:trPr>
          <w:trHeight w:val="5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Belöning av och presenter till personalen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uppvaktningar (presenter på bemärkelsedagar o.d.), utmärkelser och förtjänsttecken, titlar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Kompetensutveckling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6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Utbildning och personalutveckling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kompetenskartläggning;</w:t>
            </w:r>
            <w:r>
              <w:br/>
            </w:r>
            <w:r>
              <w:rPr>
                <w:sz w:val="18"/>
              </w:rPr>
              <w:t>utbildningsutbud;</w:t>
            </w:r>
            <w:r>
              <w:br/>
            </w:r>
            <w:r>
              <w:rPr>
                <w:sz w:val="18"/>
              </w:rPr>
              <w:t>anordnande av egna utbildningsdagar;</w:t>
            </w:r>
            <w:r>
              <w:br/>
            </w:r>
            <w:r>
              <w:rPr>
                <w:sz w:val="18"/>
              </w:rPr>
              <w:t>upprättande, godkännande och ändring av personalutvecklingsplaner;</w:t>
            </w:r>
            <w:r>
              <w:br/>
            </w:r>
            <w:r>
              <w:rPr>
                <w:sz w:val="18"/>
              </w:rPr>
              <w:t>läroavtalsutbildning;</w:t>
            </w:r>
            <w:r>
              <w:br/>
            </w:r>
            <w:r>
              <w:rPr>
                <w:sz w:val="18"/>
              </w:rPr>
              <w:t>arbetshandledning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Stödjande av frivillig utbildning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Arbetshälsa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6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Samarbets- och jämställdhetsfrågor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samarbetsfrågor, bl.a. samarbetskommissionens verksamhet, arbetsplatsmöten; </w:t>
            </w:r>
            <w:r>
              <w:br/>
            </w:r>
            <w:r>
              <w:rPr>
                <w:color w:val="000000"/>
                <w:sz w:val="18"/>
              </w:rPr>
              <w:t>fack- och förtroendemannaverksamhet, bl.a. verkställighetsförhandlingar, lokala förhandlingar;</w:t>
            </w:r>
            <w:r>
              <w:br/>
            </w:r>
            <w:r>
              <w:rPr>
                <w:color w:val="000000"/>
                <w:sz w:val="18"/>
              </w:rPr>
              <w:t>jämställdhetsfrågor, personalinitiativ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Arbetarskydd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arbetarskyddsval, arbetarskyddsinspektioner</w:t>
            </w:r>
          </w:p>
        </w:tc>
      </w:tr>
      <w:tr w:rsidR="0005565D" w:rsidRPr="0005565D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Företagshälsovård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ordnande av företagshälsovård (annat än upphandling), hälsogranskningar, arbetsplatsutredningar, rehabilitering</w:t>
            </w:r>
          </w:p>
        </w:tc>
      </w:tr>
      <w:tr w:rsidR="0005565D" w:rsidRPr="0005565D" w:rsidTr="00AF1C79">
        <w:trPr>
          <w:trHeight w:val="9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Rekreations- och arbetshälsoverksamhet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D22" w:rsidRDefault="0005565D" w:rsidP="000C1D2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 xml:space="preserve">rekreationsverksamhet på arbetstid, stödjande av motion och kultur; arbetshälsoenkäter, </w:t>
            </w:r>
          </w:p>
          <w:p w:rsidR="0005565D" w:rsidRPr="0005565D" w:rsidRDefault="000C1D22" w:rsidP="000C1D2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undersökningar och rapporter om arbetshälsan;</w:t>
            </w:r>
            <w:r>
              <w:br/>
            </w:r>
            <w:r>
              <w:rPr>
                <w:sz w:val="18"/>
              </w:rPr>
              <w:t>personalklubbens verksamhet</w:t>
            </w:r>
          </w:p>
        </w:tc>
      </w:tr>
    </w:tbl>
    <w:p w:rsidR="0005565D" w:rsidRDefault="0005565D" w:rsidP="00272D52"/>
    <w:p w:rsidR="004E4814" w:rsidRDefault="004E4814">
      <w:r>
        <w:br w:type="page"/>
      </w:r>
    </w:p>
    <w:p w:rsidR="0005565D" w:rsidRPr="004E4814" w:rsidRDefault="004E4814" w:rsidP="004E4814">
      <w:pPr>
        <w:pStyle w:val="Mervinomaotsikko2"/>
      </w:pPr>
      <w:bookmarkStart w:id="6" w:name="_Toc346551081"/>
      <w:bookmarkStart w:id="7" w:name="_Toc358289429"/>
      <w:r>
        <w:lastRenderedPageBreak/>
        <w:t>02 Ekonomi</w:t>
      </w:r>
      <w:bookmarkEnd w:id="6"/>
      <w:bookmarkEnd w:id="7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EKONOMI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Ekonomistyrning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C1D22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utveckling av bokföringen och ekonomiförvaltningen samt anvisningar för dessa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Budget och anslagsärenden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anvisningar för upprättande av budget, beredning och ändringar av budgeten,</w:t>
            </w:r>
          </w:p>
        </w:tc>
      </w:tr>
      <w:tr w:rsidR="0005565D" w:rsidRPr="0005565D" w:rsidTr="00AF1C79">
        <w:trPr>
          <w:trHeight w:val="40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Ekonomiuppföljning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uppgifterna fås från bokföringen, interna &amp; externa rapporter (t.ex. förmögenhetsförvaltarnas rapporter)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Beskattning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Skatteanvisningar och skattestyrning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anvisningar av skattemyndigheten t.ex. i momsfrågor</w:t>
            </w:r>
          </w:p>
        </w:tc>
      </w:tr>
      <w:tr w:rsidR="0005565D" w:rsidRPr="0005565D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Skatteintäkter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fastställande av skattesats, kyrkoskatt, samfundsskatt, redovisningar, befrielse från kyrkoskatt (ansökningar om befrielse från skatt)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Betalning av skatt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moms, fastighetsskatt, koncernbeskattning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Betalningsrörelse och likviditet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Kassafunktioner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Banktjänster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hantering, öppnande och avslutande av konton; användarfullmakter, godkännanderätter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Finansiering och kapitalförvaltning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76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Understöd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understöd som sökts av församlingen;</w:t>
            </w:r>
            <w:r>
              <w:br/>
            </w:r>
            <w:r>
              <w:rPr>
                <w:color w:val="000000"/>
                <w:sz w:val="18"/>
              </w:rPr>
              <w:t>understöd som beviljats av församlingen: understöd till föreningar o.d., krisunderstöd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Projektfinansiering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finansiering från EU eller exempelvis Kyrkostyrelsen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Lånefinansiering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även leasing, bankkonton med kredit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Placeringsverksamhet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C1D22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Fonder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gravvårdsfond, testamentsfonder, donationsfonder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Hantering av borgen och säkerheter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Medelanskaffning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Redovisning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Extern redovisning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bokföring och bokslut, delårsrapport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Intern redovisning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controllerverksamhet, kostnadshantering, produktivitetsuppföljning, investeringskalkyler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Egendomsförvaltning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Förvaltning av fast egendom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egendomsförteckningar o.d.</w:t>
            </w:r>
          </w:p>
        </w:tc>
      </w:tr>
      <w:tr w:rsidR="0005565D" w:rsidRPr="0005565D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Förvaltning av lös egendom och anläggningstillgångar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bl.a. förteckning över lösöre, bokföring av lösöre, värdepapper, aktier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Kulturegendom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konst- och värdeföremål o.d.</w:t>
            </w:r>
          </w:p>
        </w:tc>
      </w:tr>
      <w:tr w:rsidR="0005565D" w:rsidRPr="0005565D" w:rsidTr="00AF1C79">
        <w:trPr>
          <w:trHeight w:val="30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Testamenten och donationer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mottagande av testamenten och donationer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Upphandling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C1D22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Styrning av upphandlingar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:rsidR="00FF09D3" w:rsidRDefault="00FF09D3">
      <w:r>
        <w:br w:type="page"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02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Konkurrensutsättning enligt upphandlingslagen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Övrig konkurrensutsättning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565D" w:rsidRPr="005724D3" w:rsidRDefault="0005565D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Direktupphandling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Försäkringar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Försäljning av egna tjänster och produkter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05565D" w:rsidRPr="004E4814" w:rsidRDefault="0005565D" w:rsidP="0005565D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Försäljning av tjänster och produkter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5565D" w:rsidRPr="0005565D" w:rsidTr="00AF1C79">
        <w:trPr>
          <w:trHeight w:val="12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Prissättning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t.ex. lokalhyror, gravplatsavgifter, avgifter för förlängda gravbesittningstider, åtgärdsavgifter i samband med gravsättning, godkännande av prislistor för gravskötsel </w:t>
            </w:r>
          </w:p>
        </w:tc>
      </w:tr>
      <w:tr w:rsidR="0005565D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02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Indrivning och betalningsoförmåga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D" w:rsidRPr="0005565D" w:rsidRDefault="0005565D" w:rsidP="0005565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:rsidR="0005565D" w:rsidRDefault="0005565D" w:rsidP="00272D52"/>
    <w:p w:rsidR="004E4814" w:rsidRDefault="004E4814">
      <w:pPr>
        <w:rPr>
          <w:b/>
        </w:rPr>
      </w:pPr>
      <w:r>
        <w:br w:type="page"/>
      </w:r>
    </w:p>
    <w:p w:rsidR="005724D3" w:rsidRPr="004E4814" w:rsidRDefault="004E4814" w:rsidP="004E4814">
      <w:pPr>
        <w:pStyle w:val="Mervinomaotsikko2"/>
      </w:pPr>
      <w:bookmarkStart w:id="8" w:name="_Toc346551082"/>
      <w:bookmarkStart w:id="9" w:name="_Toc358289430"/>
      <w:r>
        <w:lastRenderedPageBreak/>
        <w:t>03 Fastigheter, markanvändning och byggande</w:t>
      </w:r>
      <w:bookmarkEnd w:id="8"/>
      <w:bookmarkEnd w:id="9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5724D3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5724D3" w:rsidRPr="0005565D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05565D" w:rsidRDefault="005724D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 </w:t>
            </w:r>
          </w:p>
        </w:tc>
      </w:tr>
      <w:tr w:rsidR="005724D3" w:rsidRPr="005724D3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FASTIGHETER, MARKANVÄNDNING OCH BYGGANDE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5724D3" w:rsidRPr="005724D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Planering och styrning av markanvändning och byggande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0C1D22" w:rsidRDefault="005724D3" w:rsidP="005724D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5724D3" w:rsidRPr="005724D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Köp och överlåtelse av mark, fastigheter och lokaler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5724D3" w:rsidRPr="005724D3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Köp och överlåtelse av mark och fastigheter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 xml:space="preserve">köp, försäljning, uthyrning, arrendering, inlösen </w:t>
            </w:r>
            <w:r>
              <w:br/>
            </w:r>
            <w:r>
              <w:br/>
            </w:r>
            <w:r>
              <w:rPr>
                <w:i/>
                <w:sz w:val="18"/>
              </w:rPr>
              <w:t>Obs.: donationer 02 05 03</w:t>
            </w:r>
          </w:p>
        </w:tc>
      </w:tr>
      <w:tr w:rsidR="005724D3" w:rsidRPr="005724D3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Köp och överlåtelse av byggnader och lokaler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Default="005724D3" w:rsidP="005724D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köp och hyrning, försäljning och uthyrning, inlösen</w:t>
            </w:r>
          </w:p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br/>
            </w:r>
            <w:r>
              <w:rPr>
                <w:i/>
                <w:sz w:val="18"/>
              </w:rPr>
              <w:t>Obs.: donationer 02 05 03</w:t>
            </w:r>
          </w:p>
        </w:tc>
      </w:tr>
      <w:tr w:rsidR="005724D3" w:rsidRPr="005724D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Markanvändning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5724D3" w:rsidRPr="005724D3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Fastighetsbildning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fastighetsförrättningar (styckning, sammanslagning av fastigheter, servitutsförrättningar och servitutsavtal)</w:t>
            </w:r>
          </w:p>
        </w:tc>
      </w:tr>
      <w:tr w:rsidR="005724D3" w:rsidRPr="005724D3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Förvaltning och användning av mark-, skogs- och vattenområden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tillstånds- och planläggningsärenden, skötsel av mark- och skogsfastigheter, beviljande av drifttillstånd, användning av vattenområden</w:t>
            </w:r>
          </w:p>
        </w:tc>
      </w:tr>
      <w:tr w:rsidR="005724D3" w:rsidRPr="005724D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Byggande, underhåll och användning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5724D3" w:rsidRPr="005724D3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Underhåll och användning av byggnader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lokalanvändning, fastighetsövervakning och fastighetssäkerhet, skötsel och underhåll av fastigheter, uppföljning av fastigheters skick och slitage</w:t>
            </w:r>
          </w:p>
        </w:tc>
      </w:tr>
      <w:tr w:rsidR="005724D3" w:rsidRPr="005724D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Byggande, reparationer och restaurering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4D3" w:rsidRPr="005724D3" w:rsidRDefault="005724D3" w:rsidP="005724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:rsidR="002352A8" w:rsidRDefault="002352A8" w:rsidP="00272D52"/>
    <w:p w:rsidR="002352A8" w:rsidRDefault="002352A8">
      <w:r>
        <w:br w:type="page"/>
      </w:r>
    </w:p>
    <w:p w:rsidR="005724D3" w:rsidRPr="002352A8" w:rsidRDefault="002352A8" w:rsidP="004E4814">
      <w:pPr>
        <w:pStyle w:val="Mervinomaotsikko2"/>
      </w:pPr>
      <w:bookmarkStart w:id="10" w:name="_Toc346551083"/>
      <w:bookmarkStart w:id="11" w:name="_Toc358289431"/>
      <w:r>
        <w:lastRenderedPageBreak/>
        <w:t>04 Församlingsarbete</w:t>
      </w:r>
      <w:bookmarkEnd w:id="10"/>
      <w:bookmarkEnd w:id="11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DD7743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43" w:rsidRPr="0005565D" w:rsidRDefault="00DD774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43" w:rsidRPr="0005565D" w:rsidRDefault="00DD774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43" w:rsidRPr="0005565D" w:rsidRDefault="00DD774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43" w:rsidRPr="0005565D" w:rsidRDefault="00DD774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43" w:rsidRPr="0005565D" w:rsidRDefault="00DD7743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DD7743" w:rsidRPr="00DD7743" w:rsidTr="00AF1C79">
        <w:trPr>
          <w:trHeight w:val="49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DD7743" w:rsidRPr="00DD7743" w:rsidRDefault="00DD7743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DD7743" w:rsidRPr="00DD7743" w:rsidRDefault="00DD7743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DD7743" w:rsidRPr="00DD7743" w:rsidRDefault="00DD7743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DD7743" w:rsidRPr="00DD7743" w:rsidRDefault="00DD7743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FÖRSAMLINGSARBETE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DD7743" w:rsidRPr="00DD7743" w:rsidRDefault="00DD7743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Ledning och utveckling av församlingsarbetet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Planering och styrning av församlingsarbetet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även uppföljning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Organisering, utveckling och ledning av webbarbetet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även uppföljning</w:t>
            </w:r>
          </w:p>
        </w:tc>
      </w:tr>
      <w:tr w:rsidR="00DD7743" w:rsidRPr="00DD7743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Organisering, utveckling och ledning av frivilligverksamheten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även uppföljning</w:t>
            </w:r>
          </w:p>
        </w:tc>
      </w:tr>
      <w:tr w:rsidR="00DD7743" w:rsidRPr="00DD7743" w:rsidTr="00AF1C79">
        <w:trPr>
          <w:trHeight w:val="6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Ordnande av gemensamma evenemang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verksamhetsområdenas egna gemensamma evenemang (stora gemensamma evenemang med andra aktörer under uppgift 00 06 01); områdesspecifika i samband med ifrågavarande uppgift 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Medlemskap och kyrkliga förrättningar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126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Kyrkliga förrättningar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C79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dop, konfirmation, upptagande i kyrkans gemenskap, ingående av äktenskap, jordfästning, välsignelse av hem och andra välsignelseförrättningar, vigning till och installation i kyrkligt ämbete, välsignelser för uppdrag, invigning av kyrkor, begravningsplatser, begravningskapell osv.</w:t>
            </w:r>
          </w:p>
        </w:tc>
      </w:tr>
      <w:tr w:rsidR="00DD7743" w:rsidRPr="00DD7743" w:rsidTr="00AF1C79">
        <w:trPr>
          <w:trHeight w:val="48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Övriga medlemskapsrelaterade frågor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24B2F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inträde och utträde, skilsmässa, namnändringar, adoptionsfrågor, flytt; statistik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Gudstjänstliv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gudstjänstlivet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helhetsplanering</w:t>
            </w:r>
          </w:p>
        </w:tc>
      </w:tr>
      <w:tr w:rsidR="00DD7743" w:rsidRPr="00DD7743" w:rsidTr="00AF1C79">
        <w:trPr>
          <w:trHeight w:val="40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Gudstjänster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C79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 xml:space="preserve">huvudgudstjänster, övriga gudstjänster, (bl.a. veckomässor, bönestunder, andakter, bönemöten) 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Musikverksamhet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musikverksamheten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Musik vid gudstjänster och kyrkliga förrättningar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Musikfostran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Musikevenemang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Körverksamhet, instrumentgrupper och orkestrar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Musikverk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Kristen fostran och ungdomsarbete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fostran och ungdomsarbetet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bl.a. översiktsplan för konfirmandundervisningen</w:t>
            </w:r>
          </w:p>
        </w:tc>
      </w:tr>
      <w:tr w:rsidR="00DD7743" w:rsidRPr="00DD7743" w:rsidTr="00AF1C79">
        <w:trPr>
          <w:trHeight w:val="62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Ledarutbildning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hjälpledare, söndagsskola, klubbledare, scouting mm.;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 xml:space="preserve">samarbete med andra aktörer </w:t>
            </w:r>
          </w:p>
        </w:tc>
      </w:tr>
      <w:tr w:rsidR="00DD7743" w:rsidRPr="00DD7743" w:rsidTr="00AF1C79">
        <w:trPr>
          <w:trHeight w:val="69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Kristen fostran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söndagsskola, konfirmandarbete;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 xml:space="preserve">samarbete med andra aktörer </w:t>
            </w:r>
          </w:p>
        </w:tc>
      </w:tr>
      <w:tr w:rsidR="00DD7743" w:rsidRPr="00DD7743" w:rsidTr="00AF1C79">
        <w:trPr>
          <w:trHeight w:val="112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Barn- och ungdomsarbete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arbete i daghem, skolor och läroanstalter;</w:t>
            </w:r>
            <w:r>
              <w:br/>
            </w:r>
            <w:r>
              <w:rPr>
                <w:sz w:val="18"/>
              </w:rPr>
              <w:t>klubb-, grupp- och lägerverksamhet;</w:t>
            </w:r>
            <w:r>
              <w:br/>
            </w:r>
            <w:r>
              <w:rPr>
                <w:sz w:val="18"/>
              </w:rPr>
              <w:t>uppsökande arbete och möten;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 xml:space="preserve">samarbete med andra aktörer </w:t>
            </w:r>
          </w:p>
        </w:tc>
      </w:tr>
    </w:tbl>
    <w:p w:rsidR="00FF09D3" w:rsidRDefault="00FF09D3">
      <w:r>
        <w:br w:type="page"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DD7743" w:rsidRPr="00DD7743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04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Vuxen- och familjearbete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vuxen- och familjearbetet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968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Vuxenarbete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t.ex. hobbygruppsverksamhet, diskussionsgrupper, andliga grupper, kamratstödsgrupper, katekumenat;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 xml:space="preserve">samarbete med andra aktörer </w:t>
            </w:r>
          </w:p>
        </w:tc>
      </w:tr>
      <w:tr w:rsidR="00DD7743" w:rsidRPr="00DD7743" w:rsidTr="00AF1C79">
        <w:trPr>
          <w:trHeight w:val="120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Familjearbete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t.ex. föreläsningar, familjeläger, parrelationskurser, stödjande av föräldraskap/mor- och farföräldraskap/fadderskap;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 xml:space="preserve">samarbete med andra aktörer </w:t>
            </w:r>
          </w:p>
        </w:tc>
      </w:tr>
      <w:tr w:rsidR="00DD7743" w:rsidRPr="00DD7743" w:rsidTr="00AF1C79">
        <w:trPr>
          <w:trHeight w:val="96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Familjerådgivningen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samtal (individ, par, familj), medling, grupper (även terapeutiska och förebyggande);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 xml:space="preserve">samarbete med andra aktörer 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Själavård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själavårdsarbetet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även: Samtalstjänst, sjukhussjälavård, polispräster osv.</w:t>
            </w:r>
          </w:p>
        </w:tc>
      </w:tr>
      <w:tr w:rsidR="00DD7743" w:rsidRPr="00DD7743" w:rsidTr="00AF1C79">
        <w:trPr>
          <w:trHeight w:val="96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Själavård och bikt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även: Samtalstjänst, sjukhussjälavård, polispräster osv;</w:t>
            </w:r>
            <w:r>
              <w:br/>
            </w:r>
            <w:r>
              <w:rPr>
                <w:color w:val="000000"/>
                <w:sz w:val="18"/>
              </w:rPr>
              <w:t>händelser och evenemang inom arbetsområdet;</w:t>
            </w:r>
            <w:r>
              <w:br/>
            </w:r>
            <w:r>
              <w:rPr>
                <w:color w:val="000000"/>
                <w:sz w:val="18"/>
              </w:rPr>
              <w:t xml:space="preserve">samarbete med andra aktörer 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Diakoni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diakoniarbetet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DD7743" w:rsidRPr="00DD7743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Individuellt diakoniarbete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rådgivning och servicehandledning, hembesök, främjande av hälsa, institutionsdiakoni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Grupper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DD7743" w:rsidRPr="00DD7743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Diakonievenemang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även insamlingen Gemensamt ansvar, samarbete med andra aktörer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Samhällsansvar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samhällsarbetet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117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Samhällsverksamhet och påverkan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arbetslivsarbete, miljöarbete, människorätts- och fredsarbete, invandrararbete och mångkulturalism, gemenskapsarbete och byaverksamhet;</w:t>
            </w:r>
            <w:r>
              <w:br/>
            </w:r>
            <w:r>
              <w:rPr>
                <w:sz w:val="18"/>
              </w:rPr>
              <w:t>händelser och evenemang inom arbetsområdet;</w:t>
            </w:r>
            <w:r>
              <w:br/>
            </w:r>
            <w:r>
              <w:rPr>
                <w:sz w:val="18"/>
              </w:rPr>
              <w:t>samarbete med andra aktörer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Ekumenik och internationellt arbete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Planering och uppföljning av ekumeniken och det internationella arbetet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AF1C79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Ekumenisk 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Internationellt arbete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Mission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AF1C79" w:rsidRDefault="00DD7743" w:rsidP="00DD774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Sjömanskyrkan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DD7743" w:rsidRPr="00DD7743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Vänförsamlingsverksamhet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743" w:rsidRPr="00DD7743" w:rsidRDefault="00DD7743" w:rsidP="00DD77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:rsidR="002352A8" w:rsidRDefault="002352A8" w:rsidP="00272D52"/>
    <w:p w:rsidR="002352A8" w:rsidRDefault="002352A8"/>
    <w:p w:rsidR="002352A8" w:rsidRDefault="002352A8"/>
    <w:p w:rsidR="00AF1C79" w:rsidRDefault="00AF1C79">
      <w:pPr>
        <w:rPr>
          <w:b/>
        </w:rPr>
      </w:pPr>
      <w:r>
        <w:br w:type="page"/>
      </w:r>
    </w:p>
    <w:p w:rsidR="002352A8" w:rsidRPr="002352A8" w:rsidRDefault="002352A8" w:rsidP="004E4814">
      <w:pPr>
        <w:pStyle w:val="Mervinomaotsikko2"/>
      </w:pPr>
      <w:bookmarkStart w:id="12" w:name="_Toc346551084"/>
      <w:bookmarkStart w:id="13" w:name="_Toc358289432"/>
      <w:r>
        <w:lastRenderedPageBreak/>
        <w:t>05 Begravningsväsende</w:t>
      </w:r>
      <w:bookmarkEnd w:id="12"/>
      <w:bookmarkEnd w:id="13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2352A8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2352A8" w:rsidRPr="002352A8" w:rsidTr="00AF1C79">
        <w:trPr>
          <w:trHeight w:val="54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AF1C79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BEGRAVNINGSVÄSENDE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Planering och styrning av begravningsväsendet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AF1C79" w:rsidRDefault="00D24B2F" w:rsidP="002352A8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sz w:val="18"/>
              </w:rPr>
              <w:t>strategier för begravningsväsendet mm.</w:t>
            </w:r>
          </w:p>
          <w:p w:rsidR="002352A8" w:rsidRPr="00AF1C79" w:rsidRDefault="002352A8" w:rsidP="002352A8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18"/>
              </w:rPr>
            </w:pPr>
            <w:r>
              <w:br/>
            </w:r>
            <w:r>
              <w:rPr>
                <w:i/>
                <w:sz w:val="18"/>
              </w:rPr>
              <w:t>Obs. Reglementet under förvaltning (00 01 01)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Begravningsplatser och krematorier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12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Anläggande och underhåll av begravningsplatser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C79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t.ex. beslut om anläggande och utbyggnad av begravningsplatser, gravgårdsplaner, dispositionsplaner för begravningsplatser; </w:t>
            </w:r>
          </w:p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även planering och byggande av begravningsplatser, skötselplaner för begravningsplatser o.d.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Anläggande och underhåll av krematorier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Gravsättning och kremering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Gravsättning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Kremering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Gravskötsel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Gravvårdar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</w:tbl>
    <w:p w:rsidR="00DD7743" w:rsidRDefault="00DD7743" w:rsidP="00272D52"/>
    <w:p w:rsidR="004E4814" w:rsidRDefault="004E4814">
      <w:pPr>
        <w:rPr>
          <w:b/>
        </w:rPr>
      </w:pPr>
      <w:r>
        <w:br w:type="page"/>
      </w:r>
    </w:p>
    <w:p w:rsidR="002352A8" w:rsidRPr="002352A8" w:rsidRDefault="002352A8" w:rsidP="004E4814">
      <w:pPr>
        <w:pStyle w:val="Mervinomaotsikko2"/>
      </w:pPr>
      <w:bookmarkStart w:id="14" w:name="_Toc346551085"/>
      <w:bookmarkStart w:id="15" w:name="_Toc358289433"/>
      <w:r>
        <w:lastRenderedPageBreak/>
        <w:t>06 Kommunikation</w:t>
      </w:r>
      <w:bookmarkEnd w:id="14"/>
      <w:bookmarkEnd w:id="15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2352A8" w:rsidRPr="0005565D" w:rsidTr="00AF1C79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2A8" w:rsidRPr="0005565D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2352A8" w:rsidRPr="002352A8" w:rsidTr="00AF1C79">
        <w:trPr>
          <w:trHeight w:val="54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06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KOMMUNIKATION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2352A8" w:rsidRPr="002352A8" w:rsidRDefault="002352A8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2352A8" w:rsidRPr="002352A8" w:rsidTr="00AF1C79">
        <w:trPr>
          <w:trHeight w:val="12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Planering, styrning och uppföljning av kommunikationen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0C1D22" w:rsidP="002352A8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kommunikationsstrategi, allmänna principer och anvisningar (bl.a. grafiska riktlinjer, anvisningar för kriskommunikation); frågor som rör användningen av församlingssymboler (bl.a. vapen); medieuppföljning</w:t>
            </w:r>
          </w:p>
        </w:tc>
      </w:tr>
      <w:tr w:rsidR="002352A8" w:rsidRPr="002352A8" w:rsidTr="00AF1C79">
        <w:trPr>
          <w:trHeight w:val="9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Organisering och genomförande av kommunikationen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extern kommunikation, intern kommunikation, kriskommunikation, interaktiv kommunikation på nätet (nätdagböcker, bloggar o.d.)</w:t>
            </w:r>
          </w:p>
        </w:tc>
      </w:tr>
      <w:tr w:rsidR="002352A8" w:rsidRPr="002352A8" w:rsidTr="00AF1C79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2352A8" w:rsidP="002352A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Publiceringsverksamhet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2352A8" w:rsidRPr="002352A8" w:rsidRDefault="00AF1C79" w:rsidP="002352A8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församlingens egna tidningar, övriga publikationer, broschyrer, av-material (som ges ut av församlingen)</w:t>
            </w:r>
          </w:p>
        </w:tc>
      </w:tr>
    </w:tbl>
    <w:p w:rsidR="002352A8" w:rsidRDefault="002352A8" w:rsidP="00272D52"/>
    <w:p w:rsidR="004E4814" w:rsidRDefault="004E4814">
      <w:pPr>
        <w:rPr>
          <w:b/>
        </w:rPr>
      </w:pPr>
      <w:r>
        <w:br w:type="page"/>
      </w:r>
    </w:p>
    <w:p w:rsidR="004E4814" w:rsidRDefault="004E4814" w:rsidP="004E4814">
      <w:pPr>
        <w:pStyle w:val="Mervinomaotsikko2"/>
      </w:pPr>
      <w:bookmarkStart w:id="16" w:name="_Toc346551086"/>
      <w:bookmarkStart w:id="17" w:name="_Toc358289434"/>
      <w:r>
        <w:lastRenderedPageBreak/>
        <w:t>07 Informationshantering och informationsförvaltning</w:t>
      </w:r>
      <w:bookmarkEnd w:id="16"/>
      <w:bookmarkEnd w:id="17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1"/>
        <w:gridCol w:w="367"/>
        <w:gridCol w:w="3828"/>
        <w:gridCol w:w="4536"/>
      </w:tblGrid>
      <w:tr w:rsidR="004E4814" w:rsidRPr="0005565D" w:rsidTr="000C1D22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14" w:rsidRPr="0005565D" w:rsidRDefault="004E4814" w:rsidP="009A1C6A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1. 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14" w:rsidRPr="0005565D" w:rsidRDefault="004E4814" w:rsidP="009A1C6A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2.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14" w:rsidRPr="0005565D" w:rsidRDefault="004E4814" w:rsidP="009A1C6A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14" w:rsidRPr="0005565D" w:rsidRDefault="004E4814" w:rsidP="009A1C6A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Rubrik/Uppgift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14" w:rsidRPr="0005565D" w:rsidRDefault="004E4814" w:rsidP="009A1C6A">
            <w:pPr>
              <w:spacing w:after="0" w:line="240" w:lineRule="auto"/>
              <w:rPr>
                <w:rFonts w:eastAsia="Times New Roman" w:cs="Arial"/>
                <w:b/>
                <w:bCs/>
                <w:color w:val="3F3151"/>
                <w:sz w:val="18"/>
                <w:szCs w:val="18"/>
              </w:rPr>
            </w:pPr>
            <w:r>
              <w:rPr>
                <w:b/>
                <w:color w:val="3F3151"/>
                <w:sz w:val="18"/>
              </w:rPr>
              <w:t>Exempel och anmärkningar</w:t>
            </w:r>
          </w:p>
        </w:tc>
      </w:tr>
      <w:tr w:rsidR="004E4814" w:rsidRPr="004E4814" w:rsidTr="000C1D22">
        <w:trPr>
          <w:trHeight w:val="54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4E4814" w:rsidRPr="004E4814" w:rsidRDefault="004E4814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4E4814" w:rsidRPr="004E4814" w:rsidRDefault="004E4814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4E4814" w:rsidRPr="004E4814" w:rsidRDefault="004E4814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4E4814" w:rsidRPr="004E4814" w:rsidRDefault="004E4814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INFORMATIONSHANTERING OCH INFORMATIONSFÖRVALTNING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4E4814" w:rsidRPr="004E4814" w:rsidRDefault="004E4814" w:rsidP="00AF1C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4E4814" w:rsidRPr="004E4814" w:rsidTr="000C1D22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Planering, styrning och uppföljning av informationshanteringen och informationsförvaltningen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>allmän utveckling och styrning (bl.a. IT-frågor), informationsförvaltningsstrategi, dataskydd, datasystem- och registerbeskrivningar</w:t>
            </w:r>
          </w:p>
        </w:tc>
      </w:tr>
      <w:tr w:rsidR="004E4814" w:rsidRPr="004E4814" w:rsidTr="000C1D22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Informationshanteringstjänster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4E4814" w:rsidRPr="004E4814" w:rsidTr="000C1D22">
        <w:trPr>
          <w:trHeight w:val="133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Dokumentförvaltning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anvisningar för dokumentförvaltningen, katalogisering (arkivförteckningar, diarierapporter), gallring och förteckningar över utgallrade handlingar, arkivflyttningar (beslut och avtal) </w:t>
            </w:r>
            <w:r>
              <w:br/>
            </w:r>
            <w:r>
              <w:rPr>
                <w:color w:val="000000"/>
                <w:sz w:val="18"/>
              </w:rPr>
              <w:t xml:space="preserve">  </w:t>
            </w:r>
            <w:r>
              <w:br/>
            </w:r>
            <w:r>
              <w:rPr>
                <w:i/>
                <w:color w:val="000000"/>
                <w:sz w:val="18"/>
              </w:rPr>
              <w:t>Obs.: arkivstadgan under förvaltning (00 01 01)</w:t>
            </w:r>
          </w:p>
        </w:tc>
      </w:tr>
      <w:tr w:rsidR="004E4814" w:rsidRPr="004E4814" w:rsidTr="000C1D22">
        <w:trPr>
          <w:trHeight w:val="139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Informationstjänst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informations- och forskarservice (även beviljande av forskningstillstånd); </w:t>
            </w:r>
            <w:r>
              <w:br/>
            </w:r>
            <w:r>
              <w:rPr>
                <w:sz w:val="18"/>
              </w:rPr>
              <w:t>ämbetsbevis, släktutredningar, släktforskning;</w:t>
            </w:r>
            <w:r>
              <w:br/>
            </w:r>
            <w:r>
              <w:rPr>
                <w:sz w:val="18"/>
              </w:rPr>
              <w:t>korrigering av registeruppgifter;</w:t>
            </w:r>
            <w:r>
              <w:br/>
            </w:r>
            <w:r>
              <w:rPr>
                <w:sz w:val="18"/>
              </w:rPr>
              <w:t>biblioteksverksamhet</w:t>
            </w:r>
          </w:p>
        </w:tc>
      </w:tr>
      <w:tr w:rsidR="004E4814" w:rsidRPr="004E4814" w:rsidTr="000C1D22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Informationsförvaltning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</w:tr>
      <w:tr w:rsidR="004E4814" w:rsidRPr="004E4814" w:rsidTr="000C1D22">
        <w:trPr>
          <w:trHeight w:val="11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Utveckling och underhåll av datasystem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</w:rPr>
              <w:t xml:space="preserve">planering och användning av datasystem (skapande, ibruktagning, testning, underhåll, stödtjänster) </w:t>
            </w:r>
            <w:r>
              <w:br/>
            </w:r>
            <w:r>
              <w:br/>
            </w:r>
            <w:r>
              <w:rPr>
                <w:i/>
                <w:sz w:val="18"/>
              </w:rPr>
              <w:t>Obs.: anskaffning av utrustning, system och licenser under upphandling</w:t>
            </w:r>
          </w:p>
        </w:tc>
      </w:tr>
      <w:tr w:rsidR="004E4814" w:rsidRPr="004E4814" w:rsidTr="000C1D22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E4814" w:rsidRPr="004E4814" w:rsidTr="000C1D22">
        <w:trPr>
          <w:trHeight w:val="111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Datasäkerhet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814" w:rsidRPr="004E4814" w:rsidRDefault="004E4814" w:rsidP="004E481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datasäkerhetspolicy, anvisningar, föreskrifter; </w:t>
            </w:r>
            <w:r>
              <w:br/>
            </w:r>
            <w:r>
              <w:rPr>
                <w:color w:val="000000"/>
                <w:sz w:val="18"/>
              </w:rPr>
              <w:t>hantering av användarrättigheter;</w:t>
            </w:r>
            <w:r>
              <w:br/>
            </w:r>
            <w:r>
              <w:rPr>
                <w:color w:val="000000"/>
                <w:sz w:val="18"/>
              </w:rPr>
              <w:t>tillsättande av datasäkerhetsansvariga och kontaktpersoner, datasäkerhetsgruppernas verksamhet; rapportering av avvikelser i datasäkerheten o.d.</w:t>
            </w:r>
          </w:p>
        </w:tc>
      </w:tr>
    </w:tbl>
    <w:p w:rsidR="004E4814" w:rsidRPr="00272D52" w:rsidRDefault="004E4814" w:rsidP="00272D52"/>
    <w:sectPr w:rsidR="004E4814" w:rsidRPr="00272D52" w:rsidSect="00345848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79" w:rsidRDefault="00AF1C79" w:rsidP="00427B9D">
      <w:pPr>
        <w:spacing w:after="0" w:line="240" w:lineRule="auto"/>
      </w:pPr>
      <w:r>
        <w:separator/>
      </w:r>
    </w:p>
  </w:endnote>
  <w:endnote w:type="continuationSeparator" w:id="0">
    <w:p w:rsidR="00AF1C79" w:rsidRDefault="00AF1C79" w:rsidP="0042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8686"/>
      <w:docPartObj>
        <w:docPartGallery w:val="Page Numbers (Bottom of Page)"/>
        <w:docPartUnique/>
      </w:docPartObj>
    </w:sdtPr>
    <w:sdtEndPr/>
    <w:sdtContent>
      <w:p w:rsidR="00AF1C79" w:rsidRDefault="00680DE5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C79" w:rsidRDefault="00AF1C7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79" w:rsidRDefault="00AF1C79" w:rsidP="00427B9D">
      <w:pPr>
        <w:spacing w:after="0" w:line="240" w:lineRule="auto"/>
      </w:pPr>
      <w:r>
        <w:separator/>
      </w:r>
    </w:p>
  </w:footnote>
  <w:footnote w:type="continuationSeparator" w:id="0">
    <w:p w:rsidR="00AF1C79" w:rsidRDefault="00AF1C79" w:rsidP="00427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D3"/>
    <w:rsid w:val="000359AB"/>
    <w:rsid w:val="0004767C"/>
    <w:rsid w:val="0005565D"/>
    <w:rsid w:val="000C1D22"/>
    <w:rsid w:val="00115A9B"/>
    <w:rsid w:val="001D4473"/>
    <w:rsid w:val="001E07E1"/>
    <w:rsid w:val="002352A8"/>
    <w:rsid w:val="00254861"/>
    <w:rsid w:val="00272D52"/>
    <w:rsid w:val="00344934"/>
    <w:rsid w:val="00345848"/>
    <w:rsid w:val="003609AE"/>
    <w:rsid w:val="00427B9D"/>
    <w:rsid w:val="004474CC"/>
    <w:rsid w:val="004A6539"/>
    <w:rsid w:val="004C36E4"/>
    <w:rsid w:val="004E4814"/>
    <w:rsid w:val="004F47CF"/>
    <w:rsid w:val="005677B8"/>
    <w:rsid w:val="005724D3"/>
    <w:rsid w:val="00591265"/>
    <w:rsid w:val="00680DE5"/>
    <w:rsid w:val="0070550A"/>
    <w:rsid w:val="007967CE"/>
    <w:rsid w:val="009A1C6A"/>
    <w:rsid w:val="009C1652"/>
    <w:rsid w:val="009D05AF"/>
    <w:rsid w:val="009E0C13"/>
    <w:rsid w:val="00A05CC2"/>
    <w:rsid w:val="00A33062"/>
    <w:rsid w:val="00AA38D7"/>
    <w:rsid w:val="00AC0141"/>
    <w:rsid w:val="00AC2696"/>
    <w:rsid w:val="00AF1C79"/>
    <w:rsid w:val="00B061AA"/>
    <w:rsid w:val="00B121A8"/>
    <w:rsid w:val="00C24221"/>
    <w:rsid w:val="00C3274F"/>
    <w:rsid w:val="00C56EB4"/>
    <w:rsid w:val="00CE18D8"/>
    <w:rsid w:val="00D1020E"/>
    <w:rsid w:val="00D24B2F"/>
    <w:rsid w:val="00D7259F"/>
    <w:rsid w:val="00DB6F4A"/>
    <w:rsid w:val="00DD7743"/>
    <w:rsid w:val="00E21D61"/>
    <w:rsid w:val="00E36DEB"/>
    <w:rsid w:val="00F47645"/>
    <w:rsid w:val="00F60A3B"/>
    <w:rsid w:val="00F8627D"/>
    <w:rsid w:val="00FA205D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sv-SE" w:eastAsia="sv-SE" w:bidi="sv-S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7B9D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05CC2"/>
    <w:pPr>
      <w:keepNext/>
      <w:keepLines/>
      <w:spacing w:before="240" w:after="60" w:line="240" w:lineRule="auto"/>
      <w:outlineLvl w:val="0"/>
    </w:pPr>
    <w:rPr>
      <w:rFonts w:ascii="Georgia" w:eastAsia="Times New Roman" w:hAnsi="Georgia"/>
      <w:bCs/>
      <w:sz w:val="40"/>
      <w:szCs w:val="28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A05CC2"/>
    <w:pPr>
      <w:spacing w:before="200" w:after="0"/>
      <w:outlineLvl w:val="1"/>
    </w:pPr>
    <w:rPr>
      <w:bCs w:val="0"/>
      <w:color w:val="000000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72D52"/>
    <w:pPr>
      <w:keepNext/>
      <w:keepLines/>
      <w:spacing w:before="160" w:after="40"/>
      <w:outlineLvl w:val="2"/>
    </w:pPr>
    <w:rPr>
      <w:rFonts w:ascii="Georgia" w:eastAsiaTheme="majorEastAsia" w:hAnsi="Georgia" w:cstheme="majorBidi"/>
      <w:b/>
      <w:bCs/>
      <w:sz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72D52"/>
    <w:pPr>
      <w:keepNext/>
      <w:keepLines/>
      <w:spacing w:before="160" w:after="40" w:line="240" w:lineRule="auto"/>
      <w:outlineLvl w:val="3"/>
    </w:pPr>
    <w:rPr>
      <w:rFonts w:ascii="Georgia" w:eastAsiaTheme="majorEastAsia" w:hAnsi="Georgia" w:cstheme="majorBidi"/>
      <w:b/>
      <w:bCs/>
      <w:iCs/>
      <w:color w:val="005293" w:themeColor="text2"/>
      <w:sz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A05CC2"/>
    <w:pPr>
      <w:keepNext/>
      <w:keepLines/>
      <w:spacing w:before="200" w:after="0"/>
      <w:outlineLvl w:val="4"/>
    </w:pPr>
    <w:rPr>
      <w:rFonts w:ascii="Georgia" w:eastAsiaTheme="majorEastAsia" w:hAnsi="Georgia" w:cstheme="majorBidi"/>
      <w:color w:val="005293" w:themeColor="text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05CC2"/>
    <w:pPr>
      <w:keepNext/>
      <w:keepLines/>
      <w:spacing w:before="200" w:after="0"/>
      <w:outlineLvl w:val="5"/>
    </w:pPr>
    <w:rPr>
      <w:rFonts w:ascii="Georgia" w:eastAsiaTheme="majorEastAsia" w:hAnsi="Georgia" w:cstheme="majorBidi"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A05CC2"/>
    <w:pPr>
      <w:keepNext/>
      <w:keepLines/>
      <w:spacing w:before="200" w:after="0"/>
      <w:outlineLvl w:val="6"/>
    </w:pPr>
    <w:rPr>
      <w:rFonts w:ascii="Georgia" w:eastAsiaTheme="majorEastAsia" w:hAnsi="Georgia" w:cstheme="majorBidi"/>
      <w:i/>
      <w:iCs/>
      <w:color w:val="005293" w:themeColor="text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A05CC2"/>
    <w:pPr>
      <w:keepNext/>
      <w:keepLines/>
      <w:spacing w:before="200" w:after="0"/>
      <w:outlineLvl w:val="7"/>
    </w:pPr>
    <w:rPr>
      <w:rFonts w:ascii="Georgia" w:eastAsiaTheme="majorEastAsia" w:hAnsi="Georgia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A05CC2"/>
    <w:pPr>
      <w:keepNext/>
      <w:keepLines/>
      <w:spacing w:before="200" w:after="0"/>
      <w:outlineLvl w:val="8"/>
    </w:pPr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5CC2"/>
    <w:rPr>
      <w:rFonts w:ascii="Georgia" w:eastAsia="Times New Roman" w:hAnsi="Georgia"/>
      <w:bCs/>
      <w:sz w:val="4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05CC2"/>
    <w:rPr>
      <w:rFonts w:ascii="Georgia" w:eastAsia="Times New Roman" w:hAnsi="Georgia"/>
      <w:color w:val="000000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72D52"/>
    <w:rPr>
      <w:rFonts w:ascii="Georgia" w:eastAsiaTheme="majorEastAsia" w:hAnsi="Georgia" w:cstheme="majorBidi"/>
      <w:b/>
      <w:bCs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72D52"/>
    <w:rPr>
      <w:rFonts w:ascii="Georgia" w:eastAsiaTheme="majorEastAsia" w:hAnsi="Georgia" w:cstheme="majorBidi"/>
      <w:b/>
      <w:bCs/>
      <w:iCs/>
      <w:color w:val="005293" w:themeColor="text2"/>
      <w:sz w:val="26"/>
    </w:rPr>
  </w:style>
  <w:style w:type="character" w:styleId="Hyperlinkki">
    <w:name w:val="Hyperlink"/>
    <w:basedOn w:val="Kappaleenoletusfontti"/>
    <w:uiPriority w:val="99"/>
    <w:unhideWhenUsed/>
    <w:rsid w:val="00A05CC2"/>
    <w:rPr>
      <w:rFonts w:ascii="Arial" w:hAnsi="Arial"/>
      <w:color w:val="005293"/>
      <w:sz w:val="22"/>
      <w:u w:val="singl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7645"/>
    <w:rPr>
      <w:rFonts w:ascii="Georgia" w:eastAsiaTheme="majorEastAsia" w:hAnsi="Georgia" w:cstheme="majorBidi"/>
      <w:color w:val="005293" w:themeColor="text2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7645"/>
    <w:rPr>
      <w:rFonts w:ascii="Georgia" w:eastAsiaTheme="majorEastAsia" w:hAnsi="Georgia" w:cstheme="majorBidi"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7645"/>
    <w:rPr>
      <w:rFonts w:ascii="Georgia" w:eastAsiaTheme="majorEastAsia" w:hAnsi="Georgia" w:cstheme="majorBidi"/>
      <w:i/>
      <w:iCs/>
      <w:color w:val="005293" w:themeColor="text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7645"/>
    <w:rPr>
      <w:rFonts w:ascii="Georgia" w:eastAsiaTheme="majorEastAsia" w:hAnsi="Georg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7645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427B9D"/>
    <w:pPr>
      <w:tabs>
        <w:tab w:val="center" w:pos="4819"/>
        <w:tab w:val="right" w:pos="9638"/>
      </w:tabs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semiHidden/>
    <w:unhideWhenUsed/>
    <w:rsid w:val="00427B9D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27B9D"/>
    <w:rPr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27B9D"/>
    <w:rPr>
      <w:sz w:val="24"/>
    </w:rPr>
  </w:style>
  <w:style w:type="paragraph" w:customStyle="1" w:styleId="Mervinomaotsikko2">
    <w:name w:val="Mervin oma otsikko 2"/>
    <w:basedOn w:val="Normaali"/>
    <w:qFormat/>
    <w:rsid w:val="004E4814"/>
    <w:rPr>
      <w:b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A1C6A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8B0E2E" w:themeColor="accent1" w:themeShade="BF"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C6A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1E07E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sv-SE" w:eastAsia="sv-SE" w:bidi="sv-S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7B9D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05CC2"/>
    <w:pPr>
      <w:keepNext/>
      <w:keepLines/>
      <w:spacing w:before="240" w:after="60" w:line="240" w:lineRule="auto"/>
      <w:outlineLvl w:val="0"/>
    </w:pPr>
    <w:rPr>
      <w:rFonts w:ascii="Georgia" w:eastAsia="Times New Roman" w:hAnsi="Georgia"/>
      <w:bCs/>
      <w:sz w:val="40"/>
      <w:szCs w:val="28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A05CC2"/>
    <w:pPr>
      <w:spacing w:before="200" w:after="0"/>
      <w:outlineLvl w:val="1"/>
    </w:pPr>
    <w:rPr>
      <w:bCs w:val="0"/>
      <w:color w:val="000000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72D52"/>
    <w:pPr>
      <w:keepNext/>
      <w:keepLines/>
      <w:spacing w:before="160" w:after="40"/>
      <w:outlineLvl w:val="2"/>
    </w:pPr>
    <w:rPr>
      <w:rFonts w:ascii="Georgia" w:eastAsiaTheme="majorEastAsia" w:hAnsi="Georgia" w:cstheme="majorBidi"/>
      <w:b/>
      <w:bCs/>
      <w:sz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72D52"/>
    <w:pPr>
      <w:keepNext/>
      <w:keepLines/>
      <w:spacing w:before="160" w:after="40" w:line="240" w:lineRule="auto"/>
      <w:outlineLvl w:val="3"/>
    </w:pPr>
    <w:rPr>
      <w:rFonts w:ascii="Georgia" w:eastAsiaTheme="majorEastAsia" w:hAnsi="Georgia" w:cstheme="majorBidi"/>
      <w:b/>
      <w:bCs/>
      <w:iCs/>
      <w:color w:val="005293" w:themeColor="text2"/>
      <w:sz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A05CC2"/>
    <w:pPr>
      <w:keepNext/>
      <w:keepLines/>
      <w:spacing w:before="200" w:after="0"/>
      <w:outlineLvl w:val="4"/>
    </w:pPr>
    <w:rPr>
      <w:rFonts w:ascii="Georgia" w:eastAsiaTheme="majorEastAsia" w:hAnsi="Georgia" w:cstheme="majorBidi"/>
      <w:color w:val="005293" w:themeColor="text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05CC2"/>
    <w:pPr>
      <w:keepNext/>
      <w:keepLines/>
      <w:spacing w:before="200" w:after="0"/>
      <w:outlineLvl w:val="5"/>
    </w:pPr>
    <w:rPr>
      <w:rFonts w:ascii="Georgia" w:eastAsiaTheme="majorEastAsia" w:hAnsi="Georgia" w:cstheme="majorBidi"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A05CC2"/>
    <w:pPr>
      <w:keepNext/>
      <w:keepLines/>
      <w:spacing w:before="200" w:after="0"/>
      <w:outlineLvl w:val="6"/>
    </w:pPr>
    <w:rPr>
      <w:rFonts w:ascii="Georgia" w:eastAsiaTheme="majorEastAsia" w:hAnsi="Georgia" w:cstheme="majorBidi"/>
      <w:i/>
      <w:iCs/>
      <w:color w:val="005293" w:themeColor="text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A05CC2"/>
    <w:pPr>
      <w:keepNext/>
      <w:keepLines/>
      <w:spacing w:before="200" w:after="0"/>
      <w:outlineLvl w:val="7"/>
    </w:pPr>
    <w:rPr>
      <w:rFonts w:ascii="Georgia" w:eastAsiaTheme="majorEastAsia" w:hAnsi="Georgia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A05CC2"/>
    <w:pPr>
      <w:keepNext/>
      <w:keepLines/>
      <w:spacing w:before="200" w:after="0"/>
      <w:outlineLvl w:val="8"/>
    </w:pPr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5CC2"/>
    <w:rPr>
      <w:rFonts w:ascii="Georgia" w:eastAsia="Times New Roman" w:hAnsi="Georgia"/>
      <w:bCs/>
      <w:sz w:val="4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05CC2"/>
    <w:rPr>
      <w:rFonts w:ascii="Georgia" w:eastAsia="Times New Roman" w:hAnsi="Georgia"/>
      <w:color w:val="000000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72D52"/>
    <w:rPr>
      <w:rFonts w:ascii="Georgia" w:eastAsiaTheme="majorEastAsia" w:hAnsi="Georgia" w:cstheme="majorBidi"/>
      <w:b/>
      <w:bCs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72D52"/>
    <w:rPr>
      <w:rFonts w:ascii="Georgia" w:eastAsiaTheme="majorEastAsia" w:hAnsi="Georgia" w:cstheme="majorBidi"/>
      <w:b/>
      <w:bCs/>
      <w:iCs/>
      <w:color w:val="005293" w:themeColor="text2"/>
      <w:sz w:val="26"/>
    </w:rPr>
  </w:style>
  <w:style w:type="character" w:styleId="Hyperlinkki">
    <w:name w:val="Hyperlink"/>
    <w:basedOn w:val="Kappaleenoletusfontti"/>
    <w:uiPriority w:val="99"/>
    <w:unhideWhenUsed/>
    <w:rsid w:val="00A05CC2"/>
    <w:rPr>
      <w:rFonts w:ascii="Arial" w:hAnsi="Arial"/>
      <w:color w:val="005293"/>
      <w:sz w:val="22"/>
      <w:u w:val="singl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7645"/>
    <w:rPr>
      <w:rFonts w:ascii="Georgia" w:eastAsiaTheme="majorEastAsia" w:hAnsi="Georgia" w:cstheme="majorBidi"/>
      <w:color w:val="005293" w:themeColor="text2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7645"/>
    <w:rPr>
      <w:rFonts w:ascii="Georgia" w:eastAsiaTheme="majorEastAsia" w:hAnsi="Georgia" w:cstheme="majorBidi"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7645"/>
    <w:rPr>
      <w:rFonts w:ascii="Georgia" w:eastAsiaTheme="majorEastAsia" w:hAnsi="Georgia" w:cstheme="majorBidi"/>
      <w:i/>
      <w:iCs/>
      <w:color w:val="005293" w:themeColor="text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7645"/>
    <w:rPr>
      <w:rFonts w:ascii="Georgia" w:eastAsiaTheme="majorEastAsia" w:hAnsi="Georg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7645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427B9D"/>
    <w:pPr>
      <w:tabs>
        <w:tab w:val="center" w:pos="4819"/>
        <w:tab w:val="right" w:pos="9638"/>
      </w:tabs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semiHidden/>
    <w:unhideWhenUsed/>
    <w:rsid w:val="00427B9D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27B9D"/>
    <w:rPr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27B9D"/>
    <w:rPr>
      <w:sz w:val="24"/>
    </w:rPr>
  </w:style>
  <w:style w:type="paragraph" w:customStyle="1" w:styleId="Mervinomaotsikko2">
    <w:name w:val="Mervin oma otsikko 2"/>
    <w:basedOn w:val="Normaali"/>
    <w:qFormat/>
    <w:rsid w:val="004E4814"/>
    <w:rPr>
      <w:b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A1C6A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8B0E2E" w:themeColor="accent1" w:themeShade="BF"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C6A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1E07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za024194/AppData/Local/Microsoft/ASHA%20XI/vh_paatokset_luokituksessa.xls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Kirkko Helsingissä">
      <a:dk1>
        <a:sysClr val="windowText" lastClr="000000"/>
      </a:dk1>
      <a:lt1>
        <a:sysClr val="window" lastClr="FFFFFF"/>
      </a:lt1>
      <a:dk2>
        <a:srgbClr val="005293"/>
      </a:dk2>
      <a:lt2>
        <a:srgbClr val="93B1CC"/>
      </a:lt2>
      <a:accent1>
        <a:srgbClr val="BB133E"/>
      </a:accent1>
      <a:accent2>
        <a:srgbClr val="E9C5CB"/>
      </a:accent2>
      <a:accent3>
        <a:srgbClr val="69BE28"/>
      </a:accent3>
      <a:accent4>
        <a:srgbClr val="C8E59A"/>
      </a:accent4>
      <a:accent5>
        <a:srgbClr val="722EA5"/>
      </a:accent5>
      <a:accent6>
        <a:srgbClr val="D3B8E2"/>
      </a:accent6>
      <a:hlink>
        <a:srgbClr val="005293"/>
      </a:hlink>
      <a:folHlink>
        <a:srgbClr val="722EA5"/>
      </a:folHlink>
    </a:clrScheme>
    <a:fontScheme name="Kirkko Helsingissä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96C12-5536-4155-8FA7-927DF7E97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404AF-7334-41C2-8B5D-BD587C1E47F1}"/>
</file>

<file path=customXml/itemProps3.xml><?xml version="1.0" encoding="utf-8"?>
<ds:datastoreItem xmlns:ds="http://schemas.openxmlformats.org/officeDocument/2006/customXml" ds:itemID="{2025D87A-1933-456A-AF13-9D1EC31DF8A0}"/>
</file>

<file path=customXml/itemProps4.xml><?xml version="1.0" encoding="utf-8"?>
<ds:datastoreItem xmlns:ds="http://schemas.openxmlformats.org/officeDocument/2006/customXml" ds:itemID="{412000BD-21AB-4AEE-8BA8-A19407768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2118</Words>
  <Characters>17162</Characters>
  <Application>Microsoft Office Word</Application>
  <DocSecurity>4</DocSecurity>
  <Lines>143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HSRKY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za024194</dc:creator>
  <cp:lastModifiedBy>kkh</cp:lastModifiedBy>
  <cp:revision>2</cp:revision>
  <cp:lastPrinted>2013-01-21T13:53:00Z</cp:lastPrinted>
  <dcterms:created xsi:type="dcterms:W3CDTF">2013-06-20T05:43:00Z</dcterms:created>
  <dcterms:modified xsi:type="dcterms:W3CDTF">2013-06-20T05:43:00Z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Order">
    <vt:r8>100</vt:r8>
  </property>
</Properties>
</file>